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0C9A" w14:textId="2B86B15C" w:rsidR="005D4F0D" w:rsidRPr="00D830B0" w:rsidRDefault="00C24911" w:rsidP="00D830B0">
      <w:pPr>
        <w:spacing w:after="4" w:line="263" w:lineRule="auto"/>
        <w:ind w:left="9"/>
        <w:jc w:val="left"/>
        <w:rPr>
          <w:b/>
        </w:rPr>
      </w:pPr>
      <w:r w:rsidRPr="00D830B0">
        <w:rPr>
          <w:b/>
        </w:rPr>
        <w:t xml:space="preserve">Tellija: Sotsiaalkindlustusamet </w:t>
      </w:r>
    </w:p>
    <w:p w14:paraId="1CBA2E70" w14:textId="15DD26B2" w:rsidR="005D4F0D" w:rsidRPr="00D830B0" w:rsidRDefault="00C24911" w:rsidP="00D830B0">
      <w:pPr>
        <w:ind w:left="9"/>
        <w:jc w:val="left"/>
        <w:rPr>
          <w:b/>
        </w:rPr>
      </w:pPr>
      <w:r w:rsidRPr="00D830B0">
        <w:rPr>
          <w:b/>
        </w:rPr>
        <w:t>Riigihan</w:t>
      </w:r>
      <w:r w:rsidR="008D081D" w:rsidRPr="00D830B0">
        <w:rPr>
          <w:b/>
        </w:rPr>
        <w:t>k</w:t>
      </w:r>
      <w:r w:rsidRPr="00D830B0">
        <w:rPr>
          <w:b/>
        </w:rPr>
        <w:t>e nimetus: „KOV täisealise</w:t>
      </w:r>
      <w:r w:rsidR="00452FA4" w:rsidRPr="00D830B0">
        <w:rPr>
          <w:b/>
        </w:rPr>
        <w:t xml:space="preserve">le suunatud sotsiaaltöö korralduse ja </w:t>
      </w:r>
      <w:r w:rsidRPr="00D830B0">
        <w:rPr>
          <w:b/>
        </w:rPr>
        <w:t xml:space="preserve">osutatavate teenuste üle tehtava </w:t>
      </w:r>
      <w:r w:rsidR="007A435B" w:rsidRPr="00D830B0">
        <w:rPr>
          <w:b/>
        </w:rPr>
        <w:t>haldus</w:t>
      </w:r>
      <w:r w:rsidRPr="00D830B0">
        <w:rPr>
          <w:b/>
        </w:rPr>
        <w:t xml:space="preserve">järelevalve </w:t>
      </w:r>
      <w:r w:rsidR="007A435B" w:rsidRPr="00D830B0">
        <w:rPr>
          <w:b/>
        </w:rPr>
        <w:t xml:space="preserve">riskimudeli </w:t>
      </w:r>
      <w:r w:rsidR="00F26F20" w:rsidRPr="00D830B0">
        <w:rPr>
          <w:b/>
        </w:rPr>
        <w:t>väljatöötamine</w:t>
      </w:r>
      <w:r w:rsidR="007A435B" w:rsidRPr="00D830B0">
        <w:rPr>
          <w:b/>
        </w:rPr>
        <w:t xml:space="preserve"> </w:t>
      </w:r>
      <w:r w:rsidR="008D081D" w:rsidRPr="00D830B0">
        <w:rPr>
          <w:b/>
        </w:rPr>
        <w:t>Sotsiaalkindlustusametile</w:t>
      </w:r>
      <w:r w:rsidRPr="00D830B0">
        <w:rPr>
          <w:b/>
        </w:rPr>
        <w:t xml:space="preserve">“ </w:t>
      </w:r>
    </w:p>
    <w:p w14:paraId="2D9444E6" w14:textId="77777777" w:rsidR="005D4F0D" w:rsidRPr="000C23E6" w:rsidRDefault="00C24911" w:rsidP="00D830B0">
      <w:pPr>
        <w:spacing w:after="7" w:line="259" w:lineRule="auto"/>
        <w:ind w:left="0" w:firstLine="0"/>
        <w:jc w:val="left"/>
      </w:pPr>
      <w:r w:rsidRPr="000C23E6">
        <w:t xml:space="preserve"> </w:t>
      </w:r>
    </w:p>
    <w:p w14:paraId="43FC06BC" w14:textId="77777777" w:rsidR="00B72854" w:rsidRPr="000C23E6" w:rsidRDefault="00B72854" w:rsidP="006E4AFF">
      <w:pPr>
        <w:spacing w:after="4" w:line="263" w:lineRule="auto"/>
        <w:ind w:left="9"/>
      </w:pPr>
    </w:p>
    <w:p w14:paraId="1B25A977" w14:textId="6F63B303" w:rsidR="00E14528" w:rsidRPr="00E26478" w:rsidRDefault="00B656E1" w:rsidP="00E14528">
      <w:pPr>
        <w:spacing w:after="0" w:line="259" w:lineRule="auto"/>
        <w:ind w:left="14" w:firstLine="0"/>
      </w:pPr>
      <w:r w:rsidRPr="00E26478">
        <w:t xml:space="preserve">Sotsiaalkindlustusamet (SKA) otsib partnerit, et välja töötada </w:t>
      </w:r>
      <w:r w:rsidR="007A435B" w:rsidRPr="00E26478">
        <w:t>riskimudel</w:t>
      </w:r>
      <w:r w:rsidRPr="00E26478">
        <w:t xml:space="preserve"> kohalike omavalitsuste (KOV) täis</w:t>
      </w:r>
      <w:r w:rsidR="00953C68" w:rsidRPr="00E26478">
        <w:t>ealistele</w:t>
      </w:r>
      <w:r w:rsidRPr="00E26478">
        <w:t xml:space="preserve"> elanikele suunatud sotsiaaltöö ja sotsiaalteenuste osutamise ja/või korraldamise üle teostatava </w:t>
      </w:r>
      <w:r w:rsidR="00F75534" w:rsidRPr="00E26478">
        <w:t>haldus</w:t>
      </w:r>
      <w:r w:rsidRPr="00E26478">
        <w:t>järelevalve</w:t>
      </w:r>
      <w:r w:rsidR="00CD0FAB" w:rsidRPr="00E26478">
        <w:t xml:space="preserve"> valimi koostamiseks.</w:t>
      </w:r>
      <w:r w:rsidR="0095490E" w:rsidRPr="00E26478">
        <w:t xml:space="preserve"> Koostatav </w:t>
      </w:r>
      <w:r w:rsidR="000B6B66" w:rsidRPr="00E26478">
        <w:t xml:space="preserve">riskimudel võimaldab esile tuua kohalikud omavalitsused, </w:t>
      </w:r>
      <w:r w:rsidR="00E14528" w:rsidRPr="00E26478">
        <w:t xml:space="preserve">mille puhul on </w:t>
      </w:r>
      <w:r w:rsidR="00350FEC" w:rsidRPr="00E26478">
        <w:t>risk</w:t>
      </w:r>
      <w:r w:rsidR="00E14528" w:rsidRPr="00E26478">
        <w:t xml:space="preserve">, et </w:t>
      </w:r>
      <w:r w:rsidR="006D4872" w:rsidRPr="00E26478">
        <w:rPr>
          <w:color w:val="202020"/>
          <w:shd w:val="clear" w:color="auto" w:fill="FFFFFF"/>
        </w:rPr>
        <w:t>haldusaktide õiguspärasus</w:t>
      </w:r>
      <w:r w:rsidR="000B6B66" w:rsidRPr="00E26478">
        <w:rPr>
          <w:color w:val="202020"/>
          <w:shd w:val="clear" w:color="auto" w:fill="FFFFFF"/>
        </w:rPr>
        <w:t xml:space="preserve">, </w:t>
      </w:r>
      <w:r w:rsidR="006D4872" w:rsidRPr="00E26478">
        <w:rPr>
          <w:color w:val="202020"/>
          <w:shd w:val="clear" w:color="auto" w:fill="FFFFFF"/>
        </w:rPr>
        <w:t xml:space="preserve">sotsiaalteenuste </w:t>
      </w:r>
      <w:r w:rsidR="000B6B66" w:rsidRPr="00E26478">
        <w:rPr>
          <w:color w:val="202020"/>
          <w:shd w:val="clear" w:color="auto" w:fill="FFFFFF"/>
        </w:rPr>
        <w:t xml:space="preserve">kvaliteet ning riigi </w:t>
      </w:r>
      <w:r w:rsidR="006D4872" w:rsidRPr="00E26478">
        <w:rPr>
          <w:color w:val="202020"/>
          <w:shd w:val="clear" w:color="auto" w:fill="FFFFFF"/>
        </w:rPr>
        <w:t>poolt sotsiaalhoolekandeks eraldatud sihtotstarbel</w:t>
      </w:r>
      <w:r w:rsidR="000B6B66" w:rsidRPr="00E26478">
        <w:rPr>
          <w:color w:val="202020"/>
          <w:shd w:val="clear" w:color="auto" w:fill="FFFFFF"/>
        </w:rPr>
        <w:t xml:space="preserve">iste vahendite kasutamine ei </w:t>
      </w:r>
      <w:r w:rsidR="00E14528" w:rsidRPr="00E26478">
        <w:rPr>
          <w:color w:val="202020"/>
          <w:shd w:val="clear" w:color="auto" w:fill="FFFFFF"/>
        </w:rPr>
        <w:t>vasta</w:t>
      </w:r>
      <w:r w:rsidR="000B6B66" w:rsidRPr="00E26478">
        <w:rPr>
          <w:color w:val="202020"/>
          <w:shd w:val="clear" w:color="auto" w:fill="FFFFFF"/>
        </w:rPr>
        <w:t xml:space="preserve"> õigusaktides sätestatu</w:t>
      </w:r>
      <w:r w:rsidR="00E14528" w:rsidRPr="00E26478">
        <w:rPr>
          <w:color w:val="202020"/>
          <w:shd w:val="clear" w:color="auto" w:fill="FFFFFF"/>
        </w:rPr>
        <w:t xml:space="preserve">le. </w:t>
      </w:r>
      <w:r w:rsidR="00E14528" w:rsidRPr="00E26478">
        <w:t xml:space="preserve">Arendatava </w:t>
      </w:r>
      <w:r w:rsidR="004C459C" w:rsidRPr="00E26478">
        <w:t>riskimudeli</w:t>
      </w:r>
      <w:r w:rsidR="00E14528" w:rsidRPr="00E26478">
        <w:t xml:space="preserve"> alusel koostatakse perioodiliselt (võimalusel igal aastal) sihtrühmale suunatud järelevalve tööplaan, mis võimaldab olemasoleva järelevalve ressursi otstarbekat kasutamist. </w:t>
      </w:r>
    </w:p>
    <w:p w14:paraId="252F87A0" w14:textId="77777777" w:rsidR="00E14528" w:rsidRDefault="00E14528" w:rsidP="00E14528">
      <w:pPr>
        <w:spacing w:after="0" w:line="259" w:lineRule="auto"/>
        <w:ind w:left="14" w:firstLine="0"/>
      </w:pPr>
    </w:p>
    <w:p w14:paraId="5AD4543D" w14:textId="2B72DE37" w:rsidR="005D4F0D" w:rsidRDefault="00C24911" w:rsidP="00E14528">
      <w:pPr>
        <w:spacing w:after="0" w:line="259" w:lineRule="auto"/>
        <w:ind w:left="14" w:firstLine="0"/>
        <w:rPr>
          <w:b/>
        </w:rPr>
      </w:pPr>
      <w:r w:rsidRPr="000C23E6">
        <w:rPr>
          <w:b/>
        </w:rPr>
        <w:t>TAUSTATEAVE</w:t>
      </w:r>
    </w:p>
    <w:p w14:paraId="70C3BCB1" w14:textId="77777777" w:rsidR="00E14528" w:rsidRPr="000C23E6" w:rsidRDefault="00E14528" w:rsidP="00E14528">
      <w:pPr>
        <w:spacing w:after="0" w:line="259" w:lineRule="auto"/>
        <w:ind w:left="14" w:firstLine="0"/>
      </w:pPr>
    </w:p>
    <w:p w14:paraId="1EB088BF" w14:textId="612DE897" w:rsidR="005D4F0D" w:rsidRPr="000C23E6" w:rsidRDefault="00C24911" w:rsidP="006E4AFF">
      <w:pPr>
        <w:spacing w:after="216" w:line="263" w:lineRule="auto"/>
        <w:ind w:left="9"/>
      </w:pPr>
      <w:r w:rsidRPr="000C23E6">
        <w:rPr>
          <w:b/>
        </w:rPr>
        <w:t xml:space="preserve">1.1. Õiguslik taust </w:t>
      </w:r>
    </w:p>
    <w:p w14:paraId="76FE37E3" w14:textId="77777777" w:rsidR="00264DF5" w:rsidRPr="005502D7" w:rsidRDefault="009E6523" w:rsidP="00264DF5">
      <w:pPr>
        <w:spacing w:after="220"/>
        <w:ind w:left="9"/>
        <w:rPr>
          <w:color w:val="202020"/>
          <w:shd w:val="clear" w:color="auto" w:fill="FFFFFF"/>
        </w:rPr>
      </w:pPr>
      <w:r w:rsidRPr="005502D7">
        <w:rPr>
          <w:color w:val="202020"/>
          <w:shd w:val="clear" w:color="auto" w:fill="FFFFFF"/>
        </w:rPr>
        <w:t xml:space="preserve">Vastavalt </w:t>
      </w:r>
      <w:r w:rsidRPr="005502D7">
        <w:t xml:space="preserve">sotsiaalhoolekande seaduse (SHS) § 157 lg 3 teeb Sotsiaalkindlustusamet haldusjärelevalvet </w:t>
      </w:r>
      <w:r w:rsidRPr="005502D7">
        <w:rPr>
          <w:color w:val="202020"/>
          <w:shd w:val="clear" w:color="auto" w:fill="FFFFFF"/>
        </w:rPr>
        <w:t xml:space="preserve">sotsiaalhoolekande seaduse alusel antud kohaliku omavalitsuse üksuse haldusaktide õiguspärasuse ning sotsiaalteenuste ja muu abi kvaliteedi, samuti riigi poolt sotsiaalhoolekandeks eraldatud sihtotstarbeliste vahendite kasutamise üle. </w:t>
      </w:r>
    </w:p>
    <w:p w14:paraId="72A8C8AC" w14:textId="77777777" w:rsidR="00E92568" w:rsidRPr="00AF1922" w:rsidRDefault="00F46603" w:rsidP="005502D7">
      <w:pPr>
        <w:pStyle w:val="NoSpacing"/>
        <w:rPr>
          <w:color w:val="auto"/>
        </w:rPr>
      </w:pPr>
      <w:r w:rsidRPr="00AF1922">
        <w:rPr>
          <w:color w:val="auto"/>
        </w:rPr>
        <w:t xml:space="preserve">Vabariigi Valitsuse seaduse (VVS) </w:t>
      </w:r>
      <w:r w:rsidRPr="00AF1922">
        <w:rPr>
          <w:color w:val="auto"/>
          <w:bdr w:val="none" w:sz="0" w:space="0" w:color="auto" w:frame="1"/>
        </w:rPr>
        <w:t>§ 75</w:t>
      </w:r>
      <w:r w:rsidRPr="00AF1922">
        <w:rPr>
          <w:color w:val="auto"/>
          <w:bdr w:val="none" w:sz="0" w:space="0" w:color="auto" w:frame="1"/>
          <w:vertAlign w:val="superscript"/>
        </w:rPr>
        <w:t>1</w:t>
      </w:r>
      <w:r w:rsidRPr="00AF1922">
        <w:rPr>
          <w:color w:val="auto"/>
        </w:rPr>
        <w:t xml:space="preserve"> lg 1 kohaselt </w:t>
      </w:r>
      <w:r w:rsidR="00993659" w:rsidRPr="00AF1922">
        <w:rPr>
          <w:color w:val="auto"/>
        </w:rPr>
        <w:t xml:space="preserve">on </w:t>
      </w:r>
      <w:r w:rsidRPr="00AF1922">
        <w:rPr>
          <w:color w:val="auto"/>
        </w:rPr>
        <w:t>haldusjärelevalve ühe haldusorgani kontroll teise haldusorgani üle ning lg 4 kohaselt haldusjärelevalve teise haldusekandja üle hõlmab haldusülesannete täitmise õiguspärasuse ja seaduses sätestatud juhul otstarbekuse kontrollimist. Haldusjärelevalve teostajal on teise haldusekandja kontrollimisel õigus teha ettekirjutusi, mille täitmata jätmise korral on asendustäitmise ja sunniraha seaduses sätestatud korras rakendatava sunniraha ülemmäär 9600</w:t>
      </w:r>
      <w:r w:rsidR="00993659" w:rsidRPr="00AF1922">
        <w:rPr>
          <w:color w:val="auto"/>
        </w:rPr>
        <w:t xml:space="preserve"> eurot. </w:t>
      </w:r>
    </w:p>
    <w:p w14:paraId="13D6C760" w14:textId="77777777" w:rsidR="00E92568" w:rsidRDefault="00E92568" w:rsidP="005502D7">
      <w:pPr>
        <w:pStyle w:val="NoSpacing"/>
      </w:pPr>
    </w:p>
    <w:p w14:paraId="32788936" w14:textId="3674E44A" w:rsidR="00F46603" w:rsidRPr="005502D7" w:rsidRDefault="00F46603" w:rsidP="005502D7">
      <w:pPr>
        <w:pStyle w:val="NoSpacing"/>
        <w:rPr>
          <w:shd w:val="clear" w:color="auto" w:fill="FFFFFF"/>
        </w:rPr>
      </w:pPr>
      <w:r w:rsidRPr="005502D7">
        <w:t xml:space="preserve">VVS </w:t>
      </w:r>
      <w:r w:rsidRPr="005502D7">
        <w:rPr>
          <w:bdr w:val="none" w:sz="0" w:space="0" w:color="auto" w:frame="1"/>
        </w:rPr>
        <w:t>§ 75</w:t>
      </w:r>
      <w:r w:rsidRPr="005502D7">
        <w:rPr>
          <w:bdr w:val="none" w:sz="0" w:space="0" w:color="auto" w:frame="1"/>
          <w:vertAlign w:val="superscript"/>
        </w:rPr>
        <w:t>2</w:t>
      </w:r>
      <w:r w:rsidRPr="005502D7">
        <w:rPr>
          <w:bdr w:val="none" w:sz="0" w:space="0" w:color="auto" w:frame="1"/>
        </w:rPr>
        <w:t xml:space="preserve"> lg 1 sätestab, et </w:t>
      </w:r>
      <w:r w:rsidR="002B2C6C">
        <w:t>h</w:t>
      </w:r>
      <w:r w:rsidRPr="005502D7">
        <w:t>aldusjärelevalve teostajal on õigus:</w:t>
      </w:r>
    </w:p>
    <w:p w14:paraId="1B315268" w14:textId="77777777" w:rsidR="00F46603" w:rsidRPr="005502D7" w:rsidRDefault="00F46603" w:rsidP="005502D7">
      <w:pPr>
        <w:pStyle w:val="NoSpacing"/>
      </w:pPr>
      <w:r w:rsidRPr="005502D7">
        <w:t xml:space="preserve">1) nõuda </w:t>
      </w:r>
      <w:proofErr w:type="spellStart"/>
      <w:r w:rsidRPr="005502D7">
        <w:t>järelevalvatavalt</w:t>
      </w:r>
      <w:proofErr w:type="spellEnd"/>
      <w:r w:rsidRPr="005502D7">
        <w:t xml:space="preserve"> seletusi ja dokumentide esitamist;</w:t>
      </w:r>
    </w:p>
    <w:p w14:paraId="4E3331AD" w14:textId="77777777" w:rsidR="00F46603" w:rsidRPr="005502D7" w:rsidRDefault="00F46603" w:rsidP="005502D7">
      <w:pPr>
        <w:pStyle w:val="NoSpacing"/>
      </w:pPr>
      <w:r w:rsidRPr="005502D7">
        <w:t xml:space="preserve"> 2) peatada </w:t>
      </w:r>
      <w:proofErr w:type="spellStart"/>
      <w:r w:rsidRPr="005502D7">
        <w:t>järelevalvatava</w:t>
      </w:r>
      <w:proofErr w:type="spellEnd"/>
      <w:r w:rsidRPr="005502D7">
        <w:t xml:space="preserve"> asjakohane ametnik või töötaja ning teda küsitleda;</w:t>
      </w:r>
    </w:p>
    <w:p w14:paraId="1D05A825" w14:textId="77777777" w:rsidR="00F46603" w:rsidRPr="005502D7" w:rsidRDefault="00F46603" w:rsidP="005502D7">
      <w:pPr>
        <w:pStyle w:val="NoSpacing"/>
      </w:pPr>
      <w:r w:rsidRPr="005502D7">
        <w:t xml:space="preserve"> 3) kontrollida meeleliselt või tehnilise vahendi abil </w:t>
      </w:r>
      <w:proofErr w:type="spellStart"/>
      <w:r w:rsidRPr="005502D7">
        <w:t>järelevalvatava</w:t>
      </w:r>
      <w:proofErr w:type="spellEnd"/>
      <w:r w:rsidRPr="005502D7">
        <w:t xml:space="preserve"> valduses olevat vallasasja, sealhulgas avada uksi ja kõrvaldada muid takistusi;</w:t>
      </w:r>
    </w:p>
    <w:p w14:paraId="7D10554D" w14:textId="77777777" w:rsidR="00F46603" w:rsidRPr="005502D7" w:rsidRDefault="00F46603" w:rsidP="005502D7">
      <w:pPr>
        <w:pStyle w:val="NoSpacing"/>
      </w:pPr>
      <w:r w:rsidRPr="005502D7">
        <w:t xml:space="preserve"> 4) võtta </w:t>
      </w:r>
      <w:proofErr w:type="spellStart"/>
      <w:r w:rsidRPr="005502D7">
        <w:t>järelevalvatava</w:t>
      </w:r>
      <w:proofErr w:type="spellEnd"/>
      <w:r w:rsidRPr="005502D7">
        <w:t xml:space="preserve"> valduses olev vallasasi hoiule ning vajaduse korral </w:t>
      </w:r>
      <w:proofErr w:type="spellStart"/>
      <w:r w:rsidRPr="005502D7">
        <w:t>hoiulevõetud</w:t>
      </w:r>
      <w:proofErr w:type="spellEnd"/>
      <w:r w:rsidRPr="005502D7">
        <w:t xml:space="preserve"> vallasasi müüa või hävitada;</w:t>
      </w:r>
    </w:p>
    <w:p w14:paraId="76A55E36" w14:textId="77777777" w:rsidR="00F46603" w:rsidRPr="005502D7" w:rsidRDefault="00F46603" w:rsidP="005502D7">
      <w:pPr>
        <w:pStyle w:val="NoSpacing"/>
      </w:pPr>
      <w:r w:rsidRPr="005502D7">
        <w:t xml:space="preserve"> 5) siseneda </w:t>
      </w:r>
      <w:proofErr w:type="spellStart"/>
      <w:r w:rsidRPr="005502D7">
        <w:t>järelevalvatava</w:t>
      </w:r>
      <w:proofErr w:type="spellEnd"/>
      <w:r w:rsidRPr="005502D7">
        <w:t xml:space="preserve"> territooriumile, piiratud või tähistatud kinnisasjale, ehitisse ja ruumi, sealhulgas avada uksi ja väravaid ning kõrvaldada muid takistusi;</w:t>
      </w:r>
    </w:p>
    <w:p w14:paraId="411C258B" w14:textId="77777777" w:rsidR="00F46603" w:rsidRPr="005502D7" w:rsidRDefault="00F46603" w:rsidP="005502D7">
      <w:pPr>
        <w:pStyle w:val="NoSpacing"/>
      </w:pPr>
      <w:r w:rsidRPr="005502D7">
        <w:t xml:space="preserve"> 6) jäädvustada olukord, võtta proove ja näidiseid, samuti teostada mõõtmisi ning teha ekspertiisi;</w:t>
      </w:r>
    </w:p>
    <w:p w14:paraId="2D90676C" w14:textId="6FD91CEF" w:rsidR="00F46603" w:rsidRPr="00E26478" w:rsidRDefault="00F46603" w:rsidP="005502D7">
      <w:pPr>
        <w:pStyle w:val="NoSpacing"/>
        <w:rPr>
          <w:color w:val="auto"/>
        </w:rPr>
      </w:pPr>
      <w:r w:rsidRPr="00E26478">
        <w:rPr>
          <w:color w:val="auto"/>
        </w:rPr>
        <w:t xml:space="preserve"> 7) rakendada seaduses sätestatud muid haldusjärelevalve meetmeid.</w:t>
      </w:r>
    </w:p>
    <w:p w14:paraId="209BAC2F" w14:textId="18ED9E8E" w:rsidR="00F46603" w:rsidRPr="00E26478" w:rsidRDefault="00264DF5" w:rsidP="005502D7">
      <w:pPr>
        <w:pStyle w:val="NoSpacing"/>
        <w:rPr>
          <w:color w:val="auto"/>
        </w:rPr>
      </w:pPr>
      <w:r w:rsidRPr="00E26478">
        <w:rPr>
          <w:color w:val="auto"/>
          <w:bdr w:val="none" w:sz="0" w:space="0" w:color="auto" w:frame="1"/>
        </w:rPr>
        <w:t xml:space="preserve">Vastavalt </w:t>
      </w:r>
      <w:r w:rsidRPr="00E26478">
        <w:rPr>
          <w:color w:val="auto"/>
        </w:rPr>
        <w:t xml:space="preserve">VVS </w:t>
      </w:r>
      <w:r w:rsidRPr="00E26478">
        <w:rPr>
          <w:color w:val="auto"/>
          <w:bdr w:val="none" w:sz="0" w:space="0" w:color="auto" w:frame="1"/>
        </w:rPr>
        <w:t>§ 75</w:t>
      </w:r>
      <w:r w:rsidRPr="00E26478">
        <w:rPr>
          <w:color w:val="auto"/>
          <w:bdr w:val="none" w:sz="0" w:space="0" w:color="auto" w:frame="1"/>
          <w:vertAlign w:val="superscript"/>
        </w:rPr>
        <w:t>2</w:t>
      </w:r>
      <w:r w:rsidRPr="00E26478">
        <w:rPr>
          <w:color w:val="auto"/>
          <w:bdr w:val="none" w:sz="0" w:space="0" w:color="auto" w:frame="1"/>
        </w:rPr>
        <w:t xml:space="preserve"> lg 2 </w:t>
      </w:r>
      <w:r w:rsidR="00F46603" w:rsidRPr="00E26478">
        <w:rPr>
          <w:color w:val="auto"/>
        </w:rPr>
        <w:t xml:space="preserve">Haldusjärelevalve teostaja teavitab </w:t>
      </w:r>
      <w:proofErr w:type="spellStart"/>
      <w:r w:rsidR="00F46603" w:rsidRPr="00E26478">
        <w:rPr>
          <w:color w:val="auto"/>
        </w:rPr>
        <w:t>järelevalvatavat</w:t>
      </w:r>
      <w:proofErr w:type="spellEnd"/>
      <w:r w:rsidR="00F46603" w:rsidRPr="00E26478">
        <w:rPr>
          <w:color w:val="auto"/>
        </w:rPr>
        <w:t xml:space="preserve"> võimaluse korral eelnevalt järelevalve läbiviimise ajast ja viisist.</w:t>
      </w:r>
    </w:p>
    <w:p w14:paraId="593B2566" w14:textId="77777777" w:rsidR="00E92568" w:rsidRPr="009E6523" w:rsidRDefault="00E92568" w:rsidP="006B01CE">
      <w:pPr>
        <w:spacing w:after="220"/>
        <w:ind w:left="0" w:firstLine="0"/>
        <w:rPr>
          <w:color w:val="202020"/>
          <w:sz w:val="21"/>
          <w:szCs w:val="21"/>
          <w:shd w:val="clear" w:color="auto" w:fill="FFFFFF"/>
        </w:rPr>
      </w:pPr>
    </w:p>
    <w:p w14:paraId="793F82CC" w14:textId="77777777" w:rsidR="002B2C6C" w:rsidRDefault="00C24911" w:rsidP="002B2C6C">
      <w:pPr>
        <w:ind w:left="9"/>
      </w:pPr>
      <w:r w:rsidRPr="000C23E6">
        <w:t xml:space="preserve">SHS </w:t>
      </w:r>
      <w:r w:rsidR="002B2C6C">
        <w:t>§des 1-13¹ on üldsätted,</w:t>
      </w:r>
      <w:r w:rsidR="002B2C6C" w:rsidRPr="002B2C6C">
        <w:t xml:space="preserve"> </w:t>
      </w:r>
      <w:r w:rsidR="002B2C6C">
        <w:t xml:space="preserve">SHS 2. peatükis §des 14 - 45¹³ kohaliku omavalitsusüksuse korraldatav abi, sh </w:t>
      </w:r>
      <w:r w:rsidR="002B2C6C" w:rsidRPr="00993659">
        <w:t>täisealistele elanikele mõeldud</w:t>
      </w:r>
      <w:r w:rsidR="002B2C6C" w:rsidRPr="000C23E6">
        <w:t xml:space="preserve"> sotsiaalteenused</w:t>
      </w:r>
      <w:r w:rsidR="002B2C6C">
        <w:t xml:space="preserve">: </w:t>
      </w:r>
    </w:p>
    <w:p w14:paraId="2530DF35" w14:textId="1489B35D" w:rsidR="005D4F0D" w:rsidRPr="000C23E6" w:rsidRDefault="00C24911" w:rsidP="002B2C6C">
      <w:pPr>
        <w:ind w:left="9" w:firstLine="365"/>
      </w:pPr>
      <w:r w:rsidRPr="000C23E6">
        <w:t>-</w:t>
      </w:r>
      <w:r w:rsidR="002B2C6C">
        <w:t xml:space="preserve"> </w:t>
      </w:r>
      <w:r w:rsidR="002B2C6C">
        <w:tab/>
      </w:r>
      <w:r w:rsidRPr="000C23E6">
        <w:t xml:space="preserve">Koduteenus </w:t>
      </w:r>
    </w:p>
    <w:p w14:paraId="5EEFBCDC" w14:textId="53AEE75E" w:rsidR="005D4F0D" w:rsidRPr="000C23E6" w:rsidRDefault="00C24911" w:rsidP="006E4AFF">
      <w:pPr>
        <w:numPr>
          <w:ilvl w:val="0"/>
          <w:numId w:val="2"/>
        </w:numPr>
        <w:spacing w:after="27"/>
        <w:ind w:hanging="360"/>
      </w:pPr>
      <w:r w:rsidRPr="000C23E6">
        <w:t xml:space="preserve">Väljaspool kodu osutatav </w:t>
      </w:r>
      <w:proofErr w:type="spellStart"/>
      <w:r w:rsidRPr="000C23E6">
        <w:t>üldhooldusteenus</w:t>
      </w:r>
      <w:proofErr w:type="spellEnd"/>
      <w:r w:rsidRPr="000C23E6">
        <w:t xml:space="preserve"> </w:t>
      </w:r>
    </w:p>
    <w:p w14:paraId="2E2D1E23" w14:textId="77777777" w:rsidR="005D4F0D" w:rsidRPr="000C23E6" w:rsidRDefault="00C24911" w:rsidP="006E4AFF">
      <w:pPr>
        <w:numPr>
          <w:ilvl w:val="0"/>
          <w:numId w:val="2"/>
        </w:numPr>
        <w:ind w:hanging="360"/>
      </w:pPr>
      <w:r w:rsidRPr="000C23E6">
        <w:t xml:space="preserve">Tugiisikuteenus </w:t>
      </w:r>
    </w:p>
    <w:p w14:paraId="13E9F2DE" w14:textId="22565AC3" w:rsidR="005D4F0D" w:rsidRPr="000C23E6" w:rsidRDefault="0047026B" w:rsidP="006E4AFF">
      <w:pPr>
        <w:numPr>
          <w:ilvl w:val="0"/>
          <w:numId w:val="2"/>
        </w:numPr>
        <w:ind w:hanging="360"/>
      </w:pPr>
      <w:r>
        <w:lastRenderedPageBreak/>
        <w:t>Täisealise isiku hooldus</w:t>
      </w:r>
    </w:p>
    <w:p w14:paraId="1116F370" w14:textId="77777777" w:rsidR="005D4F0D" w:rsidRPr="000C23E6" w:rsidRDefault="00C24911" w:rsidP="006E4AFF">
      <w:pPr>
        <w:numPr>
          <w:ilvl w:val="0"/>
          <w:numId w:val="2"/>
        </w:numPr>
        <w:ind w:hanging="360"/>
      </w:pPr>
      <w:r w:rsidRPr="000C23E6">
        <w:t xml:space="preserve">Isikliku abistaja teenus </w:t>
      </w:r>
    </w:p>
    <w:p w14:paraId="3885B96C" w14:textId="77777777" w:rsidR="005D4F0D" w:rsidRPr="000C23E6" w:rsidRDefault="00C24911" w:rsidP="006E4AFF">
      <w:pPr>
        <w:numPr>
          <w:ilvl w:val="0"/>
          <w:numId w:val="2"/>
        </w:numPr>
        <w:ind w:hanging="360"/>
      </w:pPr>
      <w:r w:rsidRPr="000C23E6">
        <w:t xml:space="preserve">Varjupaigateenus </w:t>
      </w:r>
    </w:p>
    <w:p w14:paraId="7D2744BD" w14:textId="77777777" w:rsidR="005D4F0D" w:rsidRPr="000C23E6" w:rsidRDefault="00C24911" w:rsidP="006E4AFF">
      <w:pPr>
        <w:numPr>
          <w:ilvl w:val="0"/>
          <w:numId w:val="2"/>
        </w:numPr>
        <w:ind w:hanging="360"/>
      </w:pPr>
      <w:r w:rsidRPr="000C23E6">
        <w:t xml:space="preserve">Turvakoduteenus </w:t>
      </w:r>
    </w:p>
    <w:p w14:paraId="66850510" w14:textId="77777777" w:rsidR="005D4F0D" w:rsidRPr="000C23E6" w:rsidRDefault="00C24911" w:rsidP="006E4AFF">
      <w:pPr>
        <w:numPr>
          <w:ilvl w:val="0"/>
          <w:numId w:val="2"/>
        </w:numPr>
        <w:ind w:hanging="360"/>
      </w:pPr>
      <w:r w:rsidRPr="000C23E6">
        <w:t xml:space="preserve">Sotsiaaltransporditeenus </w:t>
      </w:r>
    </w:p>
    <w:p w14:paraId="18202123" w14:textId="77777777" w:rsidR="005D4F0D" w:rsidRPr="000C23E6" w:rsidRDefault="00C24911" w:rsidP="006E4AFF">
      <w:pPr>
        <w:numPr>
          <w:ilvl w:val="0"/>
          <w:numId w:val="2"/>
        </w:numPr>
        <w:ind w:hanging="360"/>
      </w:pPr>
      <w:r w:rsidRPr="000C23E6">
        <w:t xml:space="preserve">Eluruumi tagamine </w:t>
      </w:r>
    </w:p>
    <w:p w14:paraId="23A40BE4" w14:textId="77777777" w:rsidR="005D4F0D" w:rsidRPr="000C23E6" w:rsidRDefault="00C24911" w:rsidP="006E4AFF">
      <w:pPr>
        <w:numPr>
          <w:ilvl w:val="0"/>
          <w:numId w:val="2"/>
        </w:numPr>
        <w:ind w:hanging="360"/>
      </w:pPr>
      <w:r w:rsidRPr="000C23E6">
        <w:t xml:space="preserve">Võlanõustamiseteenus </w:t>
      </w:r>
    </w:p>
    <w:p w14:paraId="6768EAF0" w14:textId="77777777" w:rsidR="005D4F0D" w:rsidRPr="000C23E6" w:rsidRDefault="00C24911" w:rsidP="006E4AFF">
      <w:pPr>
        <w:spacing w:after="0" w:line="259" w:lineRule="auto"/>
        <w:ind w:left="0" w:firstLine="0"/>
      </w:pPr>
      <w:r w:rsidRPr="000C23E6">
        <w:t xml:space="preserve"> </w:t>
      </w:r>
    </w:p>
    <w:p w14:paraId="3F09F379" w14:textId="5ED77FFC" w:rsidR="005D4F0D" w:rsidRPr="000C23E6" w:rsidRDefault="00C24911" w:rsidP="006E4AFF">
      <w:pPr>
        <w:ind w:left="9"/>
      </w:pPr>
      <w:r w:rsidRPr="000C23E6">
        <w:t>SKA on koostanud nimetatud teenustele juhendmaterjalid ja kvaliteedijuhise (</w:t>
      </w:r>
      <w:proofErr w:type="spellStart"/>
      <w:r w:rsidR="006D0437">
        <w:t>üldhooldusteenuse</w:t>
      </w:r>
      <w:proofErr w:type="spellEnd"/>
      <w:r w:rsidRPr="000C23E6">
        <w:t xml:space="preserve"> ja koduteenuse juhendid on uuendatud, teised ajakohastamisel). </w:t>
      </w:r>
    </w:p>
    <w:p w14:paraId="7BCE2D37" w14:textId="77777777" w:rsidR="005D4F0D" w:rsidRPr="000C23E6" w:rsidRDefault="00C24911" w:rsidP="006E4AFF">
      <w:pPr>
        <w:spacing w:after="0" w:line="259" w:lineRule="auto"/>
        <w:ind w:left="0" w:firstLine="0"/>
      </w:pPr>
      <w:r w:rsidRPr="000C23E6">
        <w:t xml:space="preserve"> </w:t>
      </w:r>
    </w:p>
    <w:p w14:paraId="2FA98307" w14:textId="7E962D91" w:rsidR="005D4F0D" w:rsidRPr="000C23E6" w:rsidRDefault="00C24911" w:rsidP="006E4AFF">
      <w:pPr>
        <w:spacing w:after="4" w:line="263" w:lineRule="auto"/>
        <w:ind w:left="9"/>
      </w:pPr>
      <w:r w:rsidRPr="000C23E6">
        <w:rPr>
          <w:b/>
        </w:rPr>
        <w:t>1.2. Sotsiaalkindlustusameti senine praktika riskimudeli</w:t>
      </w:r>
      <w:r w:rsidR="00993659">
        <w:rPr>
          <w:b/>
        </w:rPr>
        <w:t>te</w:t>
      </w:r>
      <w:r w:rsidRPr="000C23E6">
        <w:rPr>
          <w:b/>
        </w:rPr>
        <w:t xml:space="preserve"> koostamisel</w:t>
      </w:r>
    </w:p>
    <w:p w14:paraId="15147AB0" w14:textId="67507267" w:rsidR="005D4F0D" w:rsidRPr="000C23E6" w:rsidRDefault="005D4F0D" w:rsidP="006B01CE">
      <w:pPr>
        <w:spacing w:after="0" w:line="259" w:lineRule="auto"/>
      </w:pPr>
    </w:p>
    <w:p w14:paraId="7496852F" w14:textId="3DD8BF4F" w:rsidR="00993659" w:rsidRPr="00D830B0" w:rsidRDefault="00C24911" w:rsidP="00E92568">
      <w:pPr>
        <w:ind w:left="9"/>
      </w:pPr>
      <w:r w:rsidRPr="00D830B0">
        <w:t xml:space="preserve">SKA kasutab </w:t>
      </w:r>
      <w:r w:rsidR="00D830B0">
        <w:t>haldusjärelevalve</w:t>
      </w:r>
      <w:r w:rsidRPr="00D830B0">
        <w:t xml:space="preserve"> planeerimise</w:t>
      </w:r>
      <w:r w:rsidR="00D830B0">
        <w:t>ks</w:t>
      </w:r>
      <w:r w:rsidRPr="00D830B0">
        <w:t xml:space="preserve"> lastekaitse ja toimetulekutoetuse valdkonnas </w:t>
      </w:r>
      <w:r w:rsidR="00993659" w:rsidRPr="00D830B0">
        <w:t>riskimudeleid</w:t>
      </w:r>
      <w:r w:rsidRPr="00D830B0">
        <w:t>, mida uuendatakse igal aastal. Sotsiaalteenuste järelevalve planeerimise</w:t>
      </w:r>
      <w:r w:rsidR="00E92568" w:rsidRPr="00D830B0">
        <w:t xml:space="preserve"> </w:t>
      </w:r>
      <w:r w:rsidR="00993659" w:rsidRPr="00D830B0">
        <w:t>riskimudelid</w:t>
      </w:r>
      <w:r w:rsidRPr="00D830B0">
        <w:t xml:space="preserve"> </w:t>
      </w:r>
      <w:r w:rsidR="00E92568" w:rsidRPr="00D830B0">
        <w:t xml:space="preserve">on </w:t>
      </w:r>
      <w:r w:rsidR="006D0437" w:rsidRPr="00D830B0">
        <w:t xml:space="preserve">koostatud </w:t>
      </w:r>
      <w:r w:rsidRPr="00D830B0">
        <w:t xml:space="preserve">asendushooldusteenuse ja </w:t>
      </w:r>
      <w:r w:rsidR="00E92568" w:rsidRPr="00D830B0">
        <w:t xml:space="preserve">väljaspool kodu </w:t>
      </w:r>
      <w:r w:rsidR="0047026B" w:rsidRPr="00D830B0">
        <w:t>osutatavale</w:t>
      </w:r>
      <w:r w:rsidR="00E92568" w:rsidRPr="00D830B0">
        <w:t xml:space="preserve"> </w:t>
      </w:r>
      <w:proofErr w:type="spellStart"/>
      <w:r w:rsidR="00E92568" w:rsidRPr="00D830B0">
        <w:t>üldhooldusteenusel</w:t>
      </w:r>
      <w:r w:rsidR="006D0437" w:rsidRPr="00D830B0">
        <w:t>e</w:t>
      </w:r>
      <w:proofErr w:type="spellEnd"/>
      <w:r w:rsidR="00E92568" w:rsidRPr="00D830B0">
        <w:t xml:space="preserve"> (riikliku järelevalve valim koostatakse ohuprognoosi alusel). </w:t>
      </w:r>
    </w:p>
    <w:p w14:paraId="4DB36EEE" w14:textId="6BDC8279" w:rsidR="005D4F0D" w:rsidRPr="000C23E6" w:rsidRDefault="005D4F0D" w:rsidP="00993659">
      <w:pPr>
        <w:ind w:left="0" w:firstLine="0"/>
      </w:pPr>
    </w:p>
    <w:p w14:paraId="704792DE" w14:textId="77777777" w:rsidR="00E26478" w:rsidRDefault="00C24911" w:rsidP="006D0437">
      <w:pPr>
        <w:spacing w:after="0" w:line="259" w:lineRule="auto"/>
        <w:ind w:left="14" w:firstLine="0"/>
      </w:pPr>
      <w:r w:rsidRPr="00D5388C">
        <w:t xml:space="preserve">KOV sotsiaaltöö ja </w:t>
      </w:r>
      <w:r w:rsidR="0047026B">
        <w:t>täisealistele</w:t>
      </w:r>
      <w:r w:rsidRPr="00D5388C">
        <w:t xml:space="preserve"> suunatud sotsiaalteenuste korraldamise </w:t>
      </w:r>
      <w:r w:rsidR="00DD1BD1" w:rsidRPr="00D5388C">
        <w:t>üle teostatava haldus</w:t>
      </w:r>
      <w:r w:rsidR="00993659" w:rsidRPr="00D5388C">
        <w:t>järelevalve</w:t>
      </w:r>
      <w:r w:rsidR="00DD1BD1" w:rsidRPr="00D5388C">
        <w:t xml:space="preserve"> valimi</w:t>
      </w:r>
      <w:r w:rsidR="00993659" w:rsidRPr="00D5388C">
        <w:t xml:space="preserve"> </w:t>
      </w:r>
      <w:r w:rsidR="00E92568" w:rsidRPr="00D5388C">
        <w:t>moodustamiseks</w:t>
      </w:r>
      <w:r w:rsidR="00DD1BD1" w:rsidRPr="00D5388C">
        <w:t xml:space="preserve"> andmeanalüüsile tuginev mudel puudub.</w:t>
      </w:r>
    </w:p>
    <w:p w14:paraId="463B0801" w14:textId="77777777" w:rsidR="00E26478" w:rsidRDefault="00E26478" w:rsidP="006D0437">
      <w:pPr>
        <w:spacing w:after="0" w:line="259" w:lineRule="auto"/>
        <w:ind w:left="14" w:firstLine="0"/>
      </w:pPr>
    </w:p>
    <w:p w14:paraId="52C9AB7F" w14:textId="3F91DE68" w:rsidR="00E26478" w:rsidRDefault="00E26478" w:rsidP="00E26478">
      <w:pPr>
        <w:spacing w:after="0" w:line="259" w:lineRule="auto"/>
        <w:ind w:left="14" w:firstLine="0"/>
      </w:pPr>
      <w:proofErr w:type="spellStart"/>
      <w:r w:rsidRPr="00D5388C">
        <w:t>KOVide</w:t>
      </w:r>
      <w:proofErr w:type="spellEnd"/>
      <w:r w:rsidRPr="00D5388C">
        <w:t xml:space="preserve"> eristamisel riskitasemete järgi on valimi moodustamisel arvestatud asjaolusid, mis võiksid teha töö konkreetses kohalikus omavalitsuses tulenevalt piirkondlikust eripärast keerulisemaks või töömahukamaks. Riskitegurid võivad olla seotud KOV vananeva ja väheneva elanikkonnaga; kõrge töötuse määraga; puuetega isikute suure osakaaluga; madalate sissetulekutega; eluasemete puuduliku seisukorra; probleemise tervisekäitumisega (sh sõltuvushäired); teenuste kättesaadavusest tulenevalt (nt linnastunud piirkonnad või hajus asustus).</w:t>
      </w:r>
    </w:p>
    <w:p w14:paraId="5A0E16BE" w14:textId="698B647E" w:rsidR="00E26478" w:rsidRDefault="00E26478" w:rsidP="00E26478">
      <w:pPr>
        <w:spacing w:after="0" w:line="259" w:lineRule="auto"/>
        <w:ind w:left="14" w:firstLine="0"/>
      </w:pPr>
    </w:p>
    <w:p w14:paraId="10DD92C0" w14:textId="77777777" w:rsidR="00E26478" w:rsidRDefault="00E26478" w:rsidP="00E26478">
      <w:pPr>
        <w:spacing w:after="0" w:line="259" w:lineRule="auto"/>
        <w:ind w:left="14" w:firstLine="0"/>
      </w:pPr>
      <w:r>
        <w:t xml:space="preserve">Näiteks 2024.aasta </w:t>
      </w:r>
      <w:r w:rsidRPr="00D5388C">
        <w:t xml:space="preserve">valdkonna haldusjärelevalve valimi koostamisel </w:t>
      </w:r>
      <w:r>
        <w:t xml:space="preserve">on </w:t>
      </w:r>
      <w:r w:rsidRPr="00D5388C">
        <w:t xml:space="preserve">arvestatud </w:t>
      </w:r>
      <w:r>
        <w:t xml:space="preserve">seniste järelevalvete teostamise infoga, eelistati omavalitsusi, kus veel pole täisealiste sotsiaaltöö korraldust kontrollitud ning (suure halduskoormuse eesmärgil) välistati omavalitsused, kus lähiaastatel toimusid </w:t>
      </w:r>
      <w:r w:rsidRPr="00D5388C">
        <w:t>Riigikontrolli</w:t>
      </w:r>
      <w:r>
        <w:t xml:space="preserve"> ja</w:t>
      </w:r>
      <w:r w:rsidRPr="00D5388C">
        <w:t xml:space="preserve"> Õiguskantsleri Kantselei kontrollkäi</w:t>
      </w:r>
      <w:r>
        <w:t xml:space="preserve">gud. </w:t>
      </w:r>
    </w:p>
    <w:p w14:paraId="19501252" w14:textId="1F538D0B" w:rsidR="005D4F0D" w:rsidRPr="000C23E6" w:rsidRDefault="005D4F0D" w:rsidP="006E4AFF">
      <w:pPr>
        <w:spacing w:after="0" w:line="259" w:lineRule="auto"/>
        <w:ind w:left="0" w:firstLine="0"/>
      </w:pPr>
    </w:p>
    <w:p w14:paraId="2FDB9A13" w14:textId="63621C03" w:rsidR="005D4F0D" w:rsidRPr="000C23E6" w:rsidRDefault="00C24911" w:rsidP="006E4AFF">
      <w:pPr>
        <w:spacing w:after="216" w:line="263" w:lineRule="auto"/>
        <w:ind w:left="9"/>
      </w:pPr>
      <w:r w:rsidRPr="000C23E6">
        <w:rPr>
          <w:b/>
        </w:rPr>
        <w:t xml:space="preserve">1.3. </w:t>
      </w:r>
      <w:r w:rsidR="00791351">
        <w:rPr>
          <w:b/>
        </w:rPr>
        <w:t xml:space="preserve">Järelevalve </w:t>
      </w:r>
      <w:r w:rsidRPr="000C23E6">
        <w:rPr>
          <w:b/>
        </w:rPr>
        <w:t xml:space="preserve">sihtrühma kirjeldavad andmed  </w:t>
      </w:r>
    </w:p>
    <w:p w14:paraId="16B2A3EC" w14:textId="23EA3D79" w:rsidR="005D4F0D" w:rsidRPr="000C23E6" w:rsidRDefault="00C24911" w:rsidP="006E4AFF">
      <w:pPr>
        <w:spacing w:after="29"/>
        <w:ind w:left="9"/>
      </w:pPr>
      <w:r w:rsidRPr="000C23E6">
        <w:t xml:space="preserve">Eestis on 15 maakonda ja 79 kohalikku omavalitsust (15 linna ja 64 valda). </w:t>
      </w:r>
      <w:r w:rsidR="00D5388C">
        <w:t>Kohalikes omavalitsustes</w:t>
      </w:r>
      <w:r w:rsidRPr="000C23E6">
        <w:t xml:space="preserve"> </w:t>
      </w:r>
      <w:r w:rsidR="00713A48">
        <w:t xml:space="preserve">on </w:t>
      </w:r>
      <w:r w:rsidR="002B2C6C">
        <w:t>ametikohale</w:t>
      </w:r>
      <w:r w:rsidR="00713A48">
        <w:t xml:space="preserve"> nimetatud</w:t>
      </w:r>
      <w:r w:rsidRPr="000C23E6">
        <w:t xml:space="preserve"> sotsiaaltöötajad, kes </w:t>
      </w:r>
      <w:r w:rsidR="00D5388C">
        <w:t xml:space="preserve">korraldavad sotsiaaltööd </w:t>
      </w:r>
      <w:r w:rsidRPr="000C23E6">
        <w:t xml:space="preserve">ja </w:t>
      </w:r>
      <w:r w:rsidR="00D5388C">
        <w:t xml:space="preserve">osutavad </w:t>
      </w:r>
      <w:r w:rsidRPr="000C23E6">
        <w:t>teenuseid täisealistele elanikele</w:t>
      </w:r>
      <w:r w:rsidR="00D5388C">
        <w:t xml:space="preserve"> vastavalt SHS sätestatule</w:t>
      </w:r>
      <w:r w:rsidRPr="000C23E6">
        <w:t xml:space="preserve">. KOV elanike </w:t>
      </w:r>
      <w:r w:rsidR="00B72854">
        <w:t>sotsiaalprobleemid</w:t>
      </w:r>
      <w:r w:rsidRPr="000C23E6">
        <w:t xml:space="preserve"> võivad regiooniti erineda</w:t>
      </w:r>
      <w:r w:rsidR="00D5388C">
        <w:t>. I</w:t>
      </w:r>
      <w:r w:rsidRPr="000C23E6">
        <w:t xml:space="preserve">gapäevane toimetulek on mõjutud piirkondliku iseloomuga teguritest (nt palgatase, tervisekäitumine, tööhõive jne). Abi osutamine sotsiaaltöötaja poolt võib olla takistatud nii linnastunud kui ka </w:t>
      </w:r>
      <w:proofErr w:type="spellStart"/>
      <w:r w:rsidRPr="000C23E6">
        <w:t>hajaasustusega</w:t>
      </w:r>
      <w:proofErr w:type="spellEnd"/>
      <w:r w:rsidRPr="000C23E6">
        <w:t xml:space="preserve"> </w:t>
      </w:r>
      <w:r w:rsidR="00D5388C">
        <w:t>piirkondades</w:t>
      </w:r>
      <w:r w:rsidRPr="000C23E6">
        <w:t xml:space="preserve">. </w:t>
      </w:r>
    </w:p>
    <w:p w14:paraId="5E47401E" w14:textId="63DA28FD" w:rsidR="005D4F0D" w:rsidRPr="000C23E6" w:rsidRDefault="005D4F0D" w:rsidP="006E4AFF">
      <w:pPr>
        <w:spacing w:after="0" w:line="259" w:lineRule="auto"/>
        <w:ind w:left="14" w:firstLine="0"/>
      </w:pPr>
    </w:p>
    <w:p w14:paraId="6E739F41" w14:textId="2D064036" w:rsidR="005D4F0D" w:rsidRDefault="005D4F0D" w:rsidP="006E4AFF">
      <w:pPr>
        <w:spacing w:after="0" w:line="259" w:lineRule="auto"/>
        <w:ind w:left="14" w:firstLine="0"/>
      </w:pPr>
    </w:p>
    <w:p w14:paraId="6C4EB734" w14:textId="436355CA" w:rsidR="00B72854" w:rsidRDefault="00B72854" w:rsidP="00B73AE5">
      <w:pPr>
        <w:spacing w:after="0" w:line="259" w:lineRule="auto"/>
        <w:ind w:left="0" w:firstLine="0"/>
      </w:pPr>
    </w:p>
    <w:p w14:paraId="70FBC010" w14:textId="59634B99" w:rsidR="00F34899" w:rsidRDefault="00F34899" w:rsidP="00B73AE5">
      <w:pPr>
        <w:spacing w:after="0" w:line="259" w:lineRule="auto"/>
        <w:ind w:left="0" w:firstLine="0"/>
      </w:pPr>
    </w:p>
    <w:p w14:paraId="51581093" w14:textId="0CF35CBA" w:rsidR="005B2A59" w:rsidRDefault="005B2A59" w:rsidP="00B73AE5">
      <w:pPr>
        <w:spacing w:after="0" w:line="259" w:lineRule="auto"/>
        <w:ind w:left="0" w:firstLine="0"/>
      </w:pPr>
    </w:p>
    <w:p w14:paraId="6F390CAE" w14:textId="77777777" w:rsidR="004247E6" w:rsidRDefault="004247E6" w:rsidP="00B73AE5">
      <w:pPr>
        <w:spacing w:after="0" w:line="259" w:lineRule="auto"/>
        <w:ind w:left="0" w:firstLine="0"/>
      </w:pPr>
    </w:p>
    <w:p w14:paraId="7589CFCA" w14:textId="77777777" w:rsidR="005B2A59" w:rsidRDefault="005B2A59" w:rsidP="00B73AE5">
      <w:pPr>
        <w:spacing w:after="0" w:line="259" w:lineRule="auto"/>
        <w:ind w:left="0" w:firstLine="0"/>
      </w:pPr>
    </w:p>
    <w:p w14:paraId="08BDB573" w14:textId="77777777" w:rsidR="00F34899" w:rsidRPr="000C23E6" w:rsidRDefault="00F34899" w:rsidP="00B73AE5">
      <w:pPr>
        <w:spacing w:after="0" w:line="259" w:lineRule="auto"/>
        <w:ind w:left="0" w:firstLine="0"/>
      </w:pPr>
    </w:p>
    <w:p w14:paraId="64B17114" w14:textId="77777777" w:rsidR="005D4F0D" w:rsidRPr="000C23E6" w:rsidRDefault="00C24911" w:rsidP="006E4AFF">
      <w:pPr>
        <w:numPr>
          <w:ilvl w:val="0"/>
          <w:numId w:val="4"/>
        </w:numPr>
        <w:spacing w:after="209" w:line="263" w:lineRule="auto"/>
        <w:ind w:hanging="247"/>
      </w:pPr>
      <w:r w:rsidRPr="000C23E6">
        <w:rPr>
          <w:b/>
        </w:rPr>
        <w:lastRenderedPageBreak/>
        <w:t>TELLITAVA TÖÖ TEHNILINE KIRJELDUS</w:t>
      </w:r>
      <w:r w:rsidRPr="000C23E6">
        <w:t xml:space="preserve">  </w:t>
      </w:r>
    </w:p>
    <w:p w14:paraId="583E6C0A" w14:textId="77777777" w:rsidR="00DD125C" w:rsidRDefault="00DD125C" w:rsidP="006E4AFF">
      <w:pPr>
        <w:ind w:left="9"/>
      </w:pPr>
    </w:p>
    <w:p w14:paraId="064BFED6" w14:textId="648E44D2" w:rsidR="005D4F0D" w:rsidRDefault="00C24911" w:rsidP="006E4AFF">
      <w:pPr>
        <w:ind w:left="9"/>
      </w:pPr>
      <w:r w:rsidRPr="000C23E6">
        <w:t xml:space="preserve">Tellitav töö jaguneb kolmeks üksteisega seotud osaks. </w:t>
      </w:r>
    </w:p>
    <w:p w14:paraId="649065B8" w14:textId="77777777" w:rsidR="00715FB0" w:rsidRPr="000C23E6" w:rsidRDefault="00715FB0" w:rsidP="006E4AFF">
      <w:pPr>
        <w:ind w:left="9"/>
      </w:pPr>
    </w:p>
    <w:p w14:paraId="7A9BACD2" w14:textId="77777777" w:rsidR="002B2C6C" w:rsidRDefault="00B74DBD" w:rsidP="00CF175D">
      <w:pPr>
        <w:spacing w:after="44"/>
        <w:rPr>
          <w:color w:val="202020"/>
          <w:sz w:val="21"/>
          <w:szCs w:val="21"/>
          <w:shd w:val="clear" w:color="auto" w:fill="FFFFFF"/>
        </w:rPr>
      </w:pPr>
      <w:r w:rsidRPr="00E26478">
        <w:rPr>
          <w:b/>
          <w:color w:val="auto"/>
        </w:rPr>
        <w:t xml:space="preserve">2.1. </w:t>
      </w:r>
      <w:r w:rsidR="00C24911" w:rsidRPr="00E26478">
        <w:rPr>
          <w:b/>
          <w:color w:val="auto"/>
        </w:rPr>
        <w:t xml:space="preserve">Tellitava töö esimeses </w:t>
      </w:r>
      <w:r w:rsidR="00543E47" w:rsidRPr="00E26478">
        <w:rPr>
          <w:b/>
          <w:color w:val="auto"/>
        </w:rPr>
        <w:t>etapi</w:t>
      </w:r>
      <w:r w:rsidR="00C24911" w:rsidRPr="00E26478">
        <w:rPr>
          <w:b/>
          <w:color w:val="auto"/>
        </w:rPr>
        <w:t xml:space="preserve">s </w:t>
      </w:r>
      <w:r w:rsidR="00C24911" w:rsidRPr="00E26478">
        <w:rPr>
          <w:color w:val="auto"/>
        </w:rPr>
        <w:t xml:space="preserve">viiakse läbi uuring, </w:t>
      </w:r>
      <w:r w:rsidR="00247BB0" w:rsidRPr="00E26478">
        <w:rPr>
          <w:color w:val="auto"/>
        </w:rPr>
        <w:t xml:space="preserve">mille eesmärk on töötada välja asjakohane ja tõhus riskimudel, mis aitab </w:t>
      </w:r>
      <w:proofErr w:type="spellStart"/>
      <w:r w:rsidR="00247BB0" w:rsidRPr="00E26478">
        <w:rPr>
          <w:color w:val="auto"/>
        </w:rPr>
        <w:t>SKA-l</w:t>
      </w:r>
      <w:proofErr w:type="spellEnd"/>
      <w:r w:rsidR="00247BB0" w:rsidRPr="00E26478">
        <w:rPr>
          <w:color w:val="auto"/>
        </w:rPr>
        <w:t xml:space="preserve"> koostada</w:t>
      </w:r>
      <w:r w:rsidR="00861848" w:rsidRPr="00E26478">
        <w:rPr>
          <w:color w:val="auto"/>
        </w:rPr>
        <w:t xml:space="preserve"> </w:t>
      </w:r>
      <w:r w:rsidR="00D60246" w:rsidRPr="00E26478">
        <w:rPr>
          <w:color w:val="auto"/>
        </w:rPr>
        <w:t xml:space="preserve">kohalike omavalitsuste </w:t>
      </w:r>
      <w:r w:rsidR="00861848" w:rsidRPr="00E26478">
        <w:rPr>
          <w:color w:val="auto"/>
        </w:rPr>
        <w:t xml:space="preserve">täisealiste sotsiaaltöö ja teenuste </w:t>
      </w:r>
      <w:r w:rsidR="00E26478" w:rsidRPr="00E26478">
        <w:rPr>
          <w:color w:val="auto"/>
        </w:rPr>
        <w:t xml:space="preserve">korraldamise </w:t>
      </w:r>
      <w:r w:rsidR="00861848" w:rsidRPr="00E26478">
        <w:rPr>
          <w:color w:val="auto"/>
        </w:rPr>
        <w:t xml:space="preserve">üle tehtava haldusjärelevalve valimit. </w:t>
      </w:r>
      <w:r w:rsidR="00390201" w:rsidRPr="00E26478">
        <w:rPr>
          <w:color w:val="auto"/>
        </w:rPr>
        <w:t>Riskimudeli koostamisel käsitletakse riski kui ohtu, et kohaliku omavalitsuse täisealistele</w:t>
      </w:r>
      <w:r w:rsidR="00E56A2E" w:rsidRPr="00E26478">
        <w:rPr>
          <w:color w:val="auto"/>
        </w:rPr>
        <w:t xml:space="preserve"> elanikele</w:t>
      </w:r>
      <w:r w:rsidR="00390201" w:rsidRPr="00E26478">
        <w:rPr>
          <w:color w:val="auto"/>
        </w:rPr>
        <w:t xml:space="preserve"> korraldatav sotsiaaltöö ja/või osutatavad sotsiaalteenused ei vasta </w:t>
      </w:r>
      <w:proofErr w:type="spellStart"/>
      <w:r w:rsidR="002B2C6C">
        <w:t>SHSis</w:t>
      </w:r>
      <w:proofErr w:type="spellEnd"/>
      <w:r w:rsidR="002B2C6C">
        <w:t xml:space="preserve"> ja selle </w:t>
      </w:r>
      <w:r w:rsidR="002B2C6C">
        <w:rPr>
          <w:color w:val="202020"/>
          <w:sz w:val="21"/>
          <w:szCs w:val="21"/>
          <w:shd w:val="clear" w:color="auto" w:fill="FFFFFF"/>
        </w:rPr>
        <w:t>alusel kehtestatud õigusaktides sätestatud nõuetele.</w:t>
      </w:r>
    </w:p>
    <w:p w14:paraId="525C5F04" w14:textId="3219F010" w:rsidR="006A3975" w:rsidRDefault="00247BB0" w:rsidP="00CF175D">
      <w:pPr>
        <w:spacing w:after="44"/>
      </w:pPr>
      <w:r w:rsidRPr="00247BB0">
        <w:t xml:space="preserve">Riskimudel </w:t>
      </w:r>
      <w:r w:rsidR="005F4E42">
        <w:t>võtab arvesse</w:t>
      </w:r>
      <w:r w:rsidRPr="00247BB0">
        <w:t xml:space="preserve"> erinevaid riskitegureid ja näitajaid, mis mõjutavad </w:t>
      </w:r>
      <w:r w:rsidR="00D60246">
        <w:t xml:space="preserve">kohalikes omavalitsuses korraldatava </w:t>
      </w:r>
      <w:r w:rsidRPr="00247BB0">
        <w:t>sotsiaaltöö õiguspärasust, kvaliteeti ja efektiivsust ning aita</w:t>
      </w:r>
      <w:r w:rsidR="002B2C6C">
        <w:t>b</w:t>
      </w:r>
      <w:r w:rsidRPr="00247BB0">
        <w:t xml:space="preserve"> suunata järelevalve ressursse kõige </w:t>
      </w:r>
      <w:r w:rsidR="006A3975">
        <w:t>kõrgema riskiga</w:t>
      </w:r>
      <w:r w:rsidRPr="00247BB0">
        <w:t xml:space="preserve"> </w:t>
      </w:r>
      <w:r w:rsidR="006A3975">
        <w:t>kohalikesse omavalitsustesse.</w:t>
      </w:r>
      <w:r w:rsidRPr="00247BB0">
        <w:t xml:space="preserve"> </w:t>
      </w:r>
    </w:p>
    <w:p w14:paraId="72671227" w14:textId="7EAD9665" w:rsidR="00390201" w:rsidRDefault="00E26478" w:rsidP="00CF175D">
      <w:pPr>
        <w:spacing w:after="44"/>
      </w:pPr>
      <w:r>
        <w:t>Töö esimeses etapis</w:t>
      </w:r>
      <w:r w:rsidR="00247BB0">
        <w:t xml:space="preserve"> analüüsitakse </w:t>
      </w:r>
      <w:r w:rsidR="00247BB0" w:rsidRPr="00247BB0">
        <w:t xml:space="preserve">olemasolevaid rahvusvahelisi ja kohalikke uuringuid, seadusandlikke akte, juhiseid ja suuniseid, mis käsitlevad riskipõhise järelevalve mudelite väljatöötamist ja rakendamist sotsiaalteenuste valdkonnas. </w:t>
      </w:r>
      <w:r w:rsidR="00BA7914">
        <w:t>Viiakse läbi e</w:t>
      </w:r>
      <w:r w:rsidR="00247BB0" w:rsidRPr="00247BB0">
        <w:t>kspertintervjuud</w:t>
      </w:r>
      <w:r w:rsidR="00BA7914">
        <w:t xml:space="preserve"> </w:t>
      </w:r>
      <w:r w:rsidR="00247BB0" w:rsidRPr="00247BB0">
        <w:t>rahvusvaheliste ja kohalike ekspertidega sotsiaaltöö ja riskijuhtimise valdkonnas</w:t>
      </w:r>
      <w:r w:rsidR="00BA7914">
        <w:t xml:space="preserve">, et </w:t>
      </w:r>
      <w:r w:rsidR="00247BB0" w:rsidRPr="00247BB0">
        <w:t xml:space="preserve">koguda teadmisi ja kogemusi riskimudelite rakendamisest haldusjärelevalves ning tuvastada potentsiaalsed riskitegurid, mis võiksid olla asjakohased </w:t>
      </w:r>
      <w:r w:rsidR="00AD0F38">
        <w:t xml:space="preserve">kohalike omavalitsuste </w:t>
      </w:r>
      <w:r w:rsidR="00390201">
        <w:t>täisealiste</w:t>
      </w:r>
      <w:r w:rsidR="00AD0F38">
        <w:t xml:space="preserve"> </w:t>
      </w:r>
      <w:r w:rsidR="00247BB0" w:rsidRPr="00247BB0">
        <w:t xml:space="preserve">sotsiaaltöö </w:t>
      </w:r>
      <w:r w:rsidR="00AD0F38">
        <w:t xml:space="preserve">korraldamise ja teenuste osutamise üle teostatava haldusjärelevalve valimi koostamiseks. </w:t>
      </w:r>
    </w:p>
    <w:p w14:paraId="27B2327A" w14:textId="34CD1845" w:rsidR="00861848" w:rsidRDefault="00BA7914" w:rsidP="00CF175D">
      <w:pPr>
        <w:spacing w:after="44"/>
      </w:pPr>
      <w:r>
        <w:t xml:space="preserve">Uuring </w:t>
      </w:r>
      <w:r w:rsidR="008F256F">
        <w:t>sisalda</w:t>
      </w:r>
      <w:r w:rsidR="007061EE">
        <w:t>b</w:t>
      </w:r>
      <w:r w:rsidR="008F256F">
        <w:t xml:space="preserve"> </w:t>
      </w:r>
      <w:r>
        <w:t xml:space="preserve">fookusgrupi </w:t>
      </w:r>
      <w:r w:rsidR="008F256F">
        <w:t>intervjuude</w:t>
      </w:r>
      <w:r>
        <w:t xml:space="preserve"> läbiviimist </w:t>
      </w:r>
      <w:r w:rsidRPr="00BA7914">
        <w:t xml:space="preserve">kohalike omavalitsuste sotsiaaltöö spetsialistide ja </w:t>
      </w:r>
      <w:r w:rsidR="006A3975">
        <w:t>SKA</w:t>
      </w:r>
      <w:r w:rsidRPr="00BA7914">
        <w:t xml:space="preserve"> esindajatega, et kaardistada praegused probleemid ja riskid täisealiste sotsiaaltöö korraldamisel ning tuvastada võimalikud riskimudeli komponendid.</w:t>
      </w:r>
      <w:r>
        <w:t xml:space="preserve"> </w:t>
      </w:r>
      <w:r w:rsidR="00C96E70">
        <w:t>Riskimudelisse koondatavatest teguritest koostatakse loetelu, mis vormistatakse tabelin</w:t>
      </w:r>
      <w:r w:rsidR="00861848">
        <w:t xml:space="preserve">a, mis võtab arvesse </w:t>
      </w:r>
      <w:r w:rsidR="0032721C">
        <w:t xml:space="preserve"> indikaatoreid,</w:t>
      </w:r>
      <w:r w:rsidR="00C96E70">
        <w:t xml:space="preserve"> risk</w:t>
      </w:r>
      <w:r w:rsidR="00861848">
        <w:t xml:space="preserve">tegurite ilmnemise tõenäosust ja </w:t>
      </w:r>
      <w:r w:rsidR="00C96E70">
        <w:t xml:space="preserve"> </w:t>
      </w:r>
      <w:r w:rsidR="00861848">
        <w:t>nende negatiivse mõju</w:t>
      </w:r>
      <w:r w:rsidR="00966A86">
        <w:t xml:space="preserve"> ulatust</w:t>
      </w:r>
      <w:r w:rsidR="00861848">
        <w:t xml:space="preserve"> võimaliku realiseerumise korral. </w:t>
      </w:r>
    </w:p>
    <w:p w14:paraId="5F5C9182" w14:textId="169896E1" w:rsidR="00861848" w:rsidRDefault="00E26478" w:rsidP="00CF175D">
      <w:pPr>
        <w:spacing w:after="44"/>
      </w:pPr>
      <w:r>
        <w:t xml:space="preserve">Töö esimese etapi </w:t>
      </w:r>
      <w:r w:rsidR="0089208C">
        <w:t>käigus hinnatakse kättesaadavate andmete töödeldavust</w:t>
      </w:r>
      <w:r w:rsidR="00E60BDE">
        <w:t>, uuritakse</w:t>
      </w:r>
      <w:r w:rsidR="0089208C" w:rsidRPr="00BA7914">
        <w:t xml:space="preserve"> andmepõhiseid mustreid ja suundumusi, mis võiksid </w:t>
      </w:r>
      <w:r w:rsidR="0089208C">
        <w:t>viidata</w:t>
      </w:r>
      <w:r w:rsidR="0089208C" w:rsidRPr="00BA7914">
        <w:t xml:space="preserve"> </w:t>
      </w:r>
      <w:r w:rsidR="0089208C" w:rsidRPr="00B74DBD">
        <w:t>suurema riskiga kohalike</w:t>
      </w:r>
      <w:r w:rsidR="0089208C">
        <w:t>le</w:t>
      </w:r>
      <w:r w:rsidR="0089208C" w:rsidRPr="00B74DBD">
        <w:t xml:space="preserve"> </w:t>
      </w:r>
      <w:r w:rsidR="0089208C">
        <w:t>omavalitsustele</w:t>
      </w:r>
      <w:r w:rsidR="0089208C" w:rsidRPr="00B74DBD">
        <w:t xml:space="preserve">. </w:t>
      </w:r>
      <w:r w:rsidR="0089208C">
        <w:t xml:space="preserve">Uuringu lõpus koostatakse vahearuanne, mis sisaldab asjakohaseid </w:t>
      </w:r>
      <w:r w:rsidR="00861848">
        <w:t>tähelepanekuid ja viiteid varasematele uuringutele ja/või autoritele. See aruanne on sisendiks töö teises etapis loodava andmeanalüüsivahendi koostamise</w:t>
      </w:r>
      <w:r w:rsidR="00097564">
        <w:t xml:space="preserve">le. </w:t>
      </w:r>
    </w:p>
    <w:p w14:paraId="52EC506E" w14:textId="4ED66413" w:rsidR="00D60246" w:rsidRDefault="00D60246" w:rsidP="00390201">
      <w:pPr>
        <w:spacing w:after="44"/>
        <w:ind w:left="730" w:firstLine="0"/>
      </w:pPr>
    </w:p>
    <w:p w14:paraId="11CA1E1F" w14:textId="6B8D3387" w:rsidR="00D60246" w:rsidRDefault="002B5DA2" w:rsidP="00CF175D">
      <w:pPr>
        <w:rPr>
          <w:rFonts w:eastAsia="Times New Roman"/>
          <w:color w:val="auto"/>
          <w:kern w:val="0"/>
          <w14:ligatures w14:val="none"/>
        </w:rPr>
      </w:pPr>
      <w:r w:rsidRPr="002B5DA2">
        <w:rPr>
          <w:b/>
        </w:rPr>
        <w:t xml:space="preserve">2.2. </w:t>
      </w:r>
      <w:r w:rsidR="00C26DA9" w:rsidRPr="00C26DA9">
        <w:rPr>
          <w:rFonts w:eastAsia="Times New Roman"/>
          <w:b/>
          <w:color w:val="auto"/>
          <w:kern w:val="0"/>
          <w14:ligatures w14:val="none"/>
        </w:rPr>
        <w:t>Tellitava töö teise etapi</w:t>
      </w:r>
      <w:r w:rsidR="00C26DA9" w:rsidRPr="00C26DA9">
        <w:rPr>
          <w:rFonts w:eastAsia="Times New Roman"/>
          <w:color w:val="auto"/>
          <w:kern w:val="0"/>
          <w14:ligatures w14:val="none"/>
        </w:rPr>
        <w:t xml:space="preserve"> eesmärk on välja töötada andmeanalüüsivahend, mis võimaldab indekseerimise ja arvutusvalemite abil võrrelda kohalike omavalitsuste kohta kogutud andmeid. Selle abil saab esile tuua kohalikud omavalitsused, mis peaksid kuuluma haldusjärelevalve valimisse. Loodav andmeanalüüsivahend peab olema ühilduv </w:t>
      </w:r>
      <w:proofErr w:type="spellStart"/>
      <w:r w:rsidR="00C26DA9" w:rsidRPr="00C26DA9">
        <w:rPr>
          <w:rFonts w:eastAsia="Times New Roman"/>
          <w:color w:val="auto"/>
          <w:kern w:val="0"/>
          <w14:ligatures w14:val="none"/>
        </w:rPr>
        <w:t>SKAs</w:t>
      </w:r>
      <w:proofErr w:type="spellEnd"/>
      <w:r w:rsidR="00C26DA9" w:rsidRPr="00C26DA9">
        <w:rPr>
          <w:rFonts w:eastAsia="Times New Roman"/>
          <w:color w:val="auto"/>
          <w:kern w:val="0"/>
          <w14:ligatures w14:val="none"/>
        </w:rPr>
        <w:t xml:space="preserve"> kasutatavate arvutiprogrammidega ning võimaldama andmete värskendamist </w:t>
      </w:r>
      <w:r w:rsidR="00D72CC0">
        <w:rPr>
          <w:rFonts w:eastAsia="Times New Roman"/>
          <w:color w:val="auto"/>
          <w:kern w:val="0"/>
          <w14:ligatures w14:val="none"/>
        </w:rPr>
        <w:t>(</w:t>
      </w:r>
      <w:r w:rsidR="00C26DA9" w:rsidRPr="00966A86">
        <w:rPr>
          <w:rFonts w:eastAsia="Times New Roman"/>
          <w:color w:val="auto"/>
          <w:kern w:val="0"/>
          <w14:ligatures w14:val="none"/>
        </w:rPr>
        <w:t xml:space="preserve">uute andmete </w:t>
      </w:r>
      <w:r w:rsidR="00D72CC0" w:rsidRPr="00966A86">
        <w:rPr>
          <w:rFonts w:eastAsia="Times New Roman"/>
          <w:color w:val="auto"/>
          <w:kern w:val="0"/>
          <w14:ligatures w14:val="none"/>
        </w:rPr>
        <w:t>lisamist)</w:t>
      </w:r>
      <w:r w:rsidR="00C26DA9" w:rsidRPr="00966A86">
        <w:rPr>
          <w:rFonts w:eastAsia="Times New Roman"/>
          <w:color w:val="auto"/>
          <w:kern w:val="0"/>
          <w14:ligatures w14:val="none"/>
        </w:rPr>
        <w:t>.</w:t>
      </w:r>
      <w:r w:rsidR="00C26DA9" w:rsidRPr="00C26DA9">
        <w:rPr>
          <w:rFonts w:eastAsia="Times New Roman"/>
          <w:color w:val="auto"/>
          <w:kern w:val="0"/>
          <w14:ligatures w14:val="none"/>
        </w:rPr>
        <w:t xml:space="preserve"> Vahendi töötamist testitakse ning selle kasutamise kohta koostatakse juhendmaterjal.</w:t>
      </w:r>
      <w:r w:rsidRPr="002B5DA2">
        <w:rPr>
          <w:rFonts w:eastAsia="Times New Roman"/>
          <w:color w:val="auto"/>
          <w:kern w:val="0"/>
          <w14:ligatures w14:val="none"/>
        </w:rPr>
        <w:t xml:space="preserve"> </w:t>
      </w:r>
      <w:r w:rsidR="00C26DA9" w:rsidRPr="00C26DA9">
        <w:rPr>
          <w:rFonts w:eastAsia="Times New Roman"/>
          <w:color w:val="auto"/>
          <w:kern w:val="0"/>
          <w14:ligatures w14:val="none"/>
        </w:rPr>
        <w:t xml:space="preserve">Loodud </w:t>
      </w:r>
      <w:r w:rsidR="005F4E42">
        <w:rPr>
          <w:rFonts w:eastAsia="Times New Roman"/>
          <w:color w:val="auto"/>
          <w:kern w:val="0"/>
          <w14:ligatures w14:val="none"/>
        </w:rPr>
        <w:t>järelevalve</w:t>
      </w:r>
      <w:r w:rsidR="00C26DA9" w:rsidRPr="00C26DA9">
        <w:rPr>
          <w:rFonts w:eastAsia="Times New Roman"/>
          <w:color w:val="auto"/>
          <w:kern w:val="0"/>
          <w14:ligatures w14:val="none"/>
        </w:rPr>
        <w:t xml:space="preserve"> valimi koostamise tööriist varustatakse selle koostamise ajal kehtivate andmenäitajatega </w:t>
      </w:r>
      <w:r w:rsidR="005F4E42">
        <w:rPr>
          <w:rFonts w:eastAsia="Times New Roman"/>
          <w:color w:val="auto"/>
          <w:kern w:val="0"/>
          <w14:ligatures w14:val="none"/>
        </w:rPr>
        <w:t>ning</w:t>
      </w:r>
      <w:r w:rsidR="00C26DA9" w:rsidRPr="00C26DA9">
        <w:rPr>
          <w:rFonts w:eastAsia="Times New Roman"/>
          <w:color w:val="auto"/>
          <w:kern w:val="0"/>
          <w14:ligatures w14:val="none"/>
        </w:rPr>
        <w:t xml:space="preserve"> see on üleandmisel praktiliselt kasutatav. Tööriist peab võimaldama andmevälju lisada, eemaldada ja muuta</w:t>
      </w:r>
      <w:r>
        <w:rPr>
          <w:rFonts w:eastAsia="Times New Roman"/>
          <w:color w:val="auto"/>
          <w:kern w:val="0"/>
          <w14:ligatures w14:val="none"/>
        </w:rPr>
        <w:t xml:space="preserve">; </w:t>
      </w:r>
      <w:r w:rsidR="00C26DA9" w:rsidRPr="00C26DA9">
        <w:rPr>
          <w:rFonts w:eastAsia="Times New Roman"/>
          <w:color w:val="auto"/>
          <w:kern w:val="0"/>
          <w14:ligatures w14:val="none"/>
        </w:rPr>
        <w:t>olema kasutajasõbralik ja varustatud juhendmaterjaliga</w:t>
      </w:r>
      <w:r w:rsidR="005F4E42">
        <w:rPr>
          <w:rFonts w:eastAsia="Times New Roman"/>
          <w:color w:val="auto"/>
          <w:kern w:val="0"/>
          <w14:ligatures w14:val="none"/>
        </w:rPr>
        <w:t>.</w:t>
      </w:r>
    </w:p>
    <w:p w14:paraId="0EBED607" w14:textId="4A258703" w:rsidR="005F4E42" w:rsidRDefault="005F4E42" w:rsidP="005F4E42">
      <w:pPr>
        <w:ind w:left="730" w:firstLine="0"/>
      </w:pPr>
    </w:p>
    <w:p w14:paraId="0B0AD2AF" w14:textId="77777777" w:rsidR="005F4E42" w:rsidRPr="000C23E6" w:rsidRDefault="005F4E42" w:rsidP="005F4E42">
      <w:pPr>
        <w:spacing w:after="0" w:line="259" w:lineRule="auto"/>
        <w:ind w:left="14" w:firstLine="0"/>
      </w:pPr>
    </w:p>
    <w:p w14:paraId="39413208" w14:textId="2BF92100" w:rsidR="005F4E42" w:rsidRDefault="005F4E42" w:rsidP="00CF175D">
      <w:r>
        <w:rPr>
          <w:b/>
        </w:rPr>
        <w:t xml:space="preserve">2.3. </w:t>
      </w:r>
      <w:r w:rsidRPr="000C23E6">
        <w:rPr>
          <w:b/>
        </w:rPr>
        <w:t xml:space="preserve">Tellitava töö kolmandas </w:t>
      </w:r>
      <w:r>
        <w:rPr>
          <w:b/>
        </w:rPr>
        <w:t>etapis</w:t>
      </w:r>
      <w:r w:rsidRPr="000C23E6">
        <w:rPr>
          <w:b/>
        </w:rPr>
        <w:t xml:space="preserve"> </w:t>
      </w:r>
      <w:r w:rsidRPr="000C23E6">
        <w:t xml:space="preserve">toimub analüüsivahendi täiendamine lähtuvalt testimise käigus tehtud </w:t>
      </w:r>
      <w:r>
        <w:t>tähelepanekutele</w:t>
      </w:r>
      <w:r w:rsidRPr="000C23E6">
        <w:t xml:space="preserve"> ning kasutajate ja/või vahendit uute andmetega täitvate spetsialistide koolitamine. </w:t>
      </w:r>
    </w:p>
    <w:p w14:paraId="0F73BD4B" w14:textId="663193E0" w:rsidR="005F4E42" w:rsidRDefault="005F4E42" w:rsidP="005F4E42">
      <w:pPr>
        <w:ind w:left="730" w:firstLine="0"/>
      </w:pPr>
    </w:p>
    <w:p w14:paraId="1702E9F8" w14:textId="65D690A7" w:rsidR="005F4E42" w:rsidRDefault="005F4E42" w:rsidP="005F4E42">
      <w:pPr>
        <w:ind w:left="730" w:firstLine="0"/>
      </w:pPr>
    </w:p>
    <w:p w14:paraId="6A4A9EF3" w14:textId="77777777" w:rsidR="005F4E42" w:rsidRPr="000C23E6" w:rsidRDefault="005F4E42" w:rsidP="005F4E42">
      <w:pPr>
        <w:numPr>
          <w:ilvl w:val="0"/>
          <w:numId w:val="7"/>
        </w:numPr>
        <w:spacing w:after="238" w:line="263" w:lineRule="auto"/>
        <w:ind w:hanging="247"/>
      </w:pPr>
      <w:r w:rsidRPr="000C23E6">
        <w:rPr>
          <w:b/>
        </w:rPr>
        <w:lastRenderedPageBreak/>
        <w:t xml:space="preserve">TÖÖ TEOSTAMISE TÄHTAEG  </w:t>
      </w:r>
    </w:p>
    <w:p w14:paraId="1B009DBC" w14:textId="77777777" w:rsidR="00CF175D" w:rsidRPr="006564B9" w:rsidRDefault="005F4E42" w:rsidP="00CF175D">
      <w:pPr>
        <w:pStyle w:val="NormalWeb"/>
        <w:rPr>
          <w:rFonts w:ascii="Arial" w:hAnsi="Arial" w:cs="Arial"/>
        </w:rPr>
      </w:pPr>
      <w:r w:rsidRPr="006564B9">
        <w:rPr>
          <w:rStyle w:val="Strong"/>
          <w:rFonts w:ascii="Arial" w:hAnsi="Arial" w:cs="Arial"/>
        </w:rPr>
        <w:t>3.1.</w:t>
      </w:r>
      <w:r w:rsidRPr="006564B9">
        <w:rPr>
          <w:rFonts w:ascii="Arial" w:hAnsi="Arial" w:cs="Arial"/>
        </w:rPr>
        <w:t xml:space="preserve"> Töö üleandmise tähtaeg on kuus kuud alates töö teostamise ajakava kokkuleppimisest.</w:t>
      </w:r>
      <w:r w:rsidRPr="006564B9">
        <w:rPr>
          <w:rFonts w:ascii="Arial" w:hAnsi="Arial" w:cs="Arial"/>
        </w:rPr>
        <w:br/>
      </w:r>
      <w:r w:rsidRPr="006564B9">
        <w:rPr>
          <w:rStyle w:val="Strong"/>
          <w:rFonts w:ascii="Arial" w:hAnsi="Arial" w:cs="Arial"/>
        </w:rPr>
        <w:t>3.1.1.</w:t>
      </w:r>
      <w:r w:rsidRPr="006564B9">
        <w:rPr>
          <w:rFonts w:ascii="Arial" w:hAnsi="Arial" w:cs="Arial"/>
        </w:rPr>
        <w:t xml:space="preserve"> Töö üleandmine toimub etappide kaupa vastavalt poolte vahel kokku lepitud ajakavale.</w:t>
      </w:r>
      <w:r w:rsidRPr="006564B9">
        <w:rPr>
          <w:rFonts w:ascii="Arial" w:hAnsi="Arial" w:cs="Arial"/>
        </w:rPr>
        <w:br/>
      </w:r>
      <w:r w:rsidRPr="006564B9">
        <w:rPr>
          <w:rStyle w:val="Strong"/>
          <w:rFonts w:ascii="Arial" w:hAnsi="Arial" w:cs="Arial"/>
        </w:rPr>
        <w:t>3.1.2.</w:t>
      </w:r>
      <w:r w:rsidRPr="006564B9">
        <w:rPr>
          <w:rFonts w:ascii="Arial" w:hAnsi="Arial" w:cs="Arial"/>
        </w:rPr>
        <w:t xml:space="preserve"> Pooltel on õigus aja- ja tegevuskava täpsustada, kui see on vajalik selles esinevate ilmselgete vastuolude või ebatäpsuste kõrvaldamiseks.</w:t>
      </w:r>
    </w:p>
    <w:p w14:paraId="63B81075" w14:textId="275C4CF2" w:rsidR="00CF175D" w:rsidRPr="006564B9" w:rsidRDefault="005F4E42" w:rsidP="00CF175D">
      <w:pPr>
        <w:pStyle w:val="NormalWeb"/>
        <w:rPr>
          <w:rFonts w:ascii="Arial" w:hAnsi="Arial" w:cs="Arial"/>
        </w:rPr>
      </w:pPr>
      <w:r w:rsidRPr="006564B9">
        <w:rPr>
          <w:rStyle w:val="Strong"/>
          <w:rFonts w:ascii="Arial" w:hAnsi="Arial" w:cs="Arial"/>
        </w:rPr>
        <w:t>3.2.</w:t>
      </w:r>
      <w:r w:rsidRPr="006564B9">
        <w:rPr>
          <w:rFonts w:ascii="Arial" w:hAnsi="Arial" w:cs="Arial"/>
        </w:rPr>
        <w:t xml:space="preserve"> Töövõtja esitab tellijale vahearuanded teostatud töö ja läbiviidud tegevuste kohta vastavalt poolte vahel kokkulepitud ajakavas esitatud tähtaegadele.</w:t>
      </w:r>
      <w:r w:rsidRPr="006564B9">
        <w:rPr>
          <w:rFonts w:ascii="Arial" w:hAnsi="Arial" w:cs="Arial"/>
        </w:rPr>
        <w:br/>
      </w:r>
      <w:r w:rsidRPr="006564B9">
        <w:rPr>
          <w:rStyle w:val="Strong"/>
          <w:rFonts w:ascii="Arial" w:hAnsi="Arial" w:cs="Arial"/>
        </w:rPr>
        <w:t>3.2.1.</w:t>
      </w:r>
      <w:r w:rsidRPr="006564B9">
        <w:rPr>
          <w:rFonts w:ascii="Arial" w:hAnsi="Arial" w:cs="Arial"/>
        </w:rPr>
        <w:t xml:space="preserve"> Vahearuandes tuleb välja tuua ka pakkuja esitatud aja- ja tegevuskavast kinnipidamine või probleemid, mis seda takistavad. Tellijal on õigus esitatud vahearuannete põhjal anda töövõtjale juhiseid, teha märkusi töö nõuetekohaseks teostamiseks või teha ettepanekuid tegevus- ja ajakava ning töö teostamise metoodika kohandamiseks. Vahearuanded tuleb esitada tellija kontaktisiku e-posti aadressile.</w:t>
      </w:r>
    </w:p>
    <w:p w14:paraId="3C2CF83B" w14:textId="77777777" w:rsidR="006564B9" w:rsidRPr="006564B9" w:rsidRDefault="005F4E42" w:rsidP="006564B9">
      <w:pPr>
        <w:tabs>
          <w:tab w:val="left" w:pos="567"/>
        </w:tabs>
        <w:spacing w:after="0" w:line="240" w:lineRule="auto"/>
        <w:outlineLvl w:val="2"/>
        <w:rPr>
          <w:color w:val="auto"/>
          <w:sz w:val="24"/>
          <w:szCs w:val="24"/>
        </w:rPr>
      </w:pPr>
      <w:r w:rsidRPr="006564B9">
        <w:rPr>
          <w:rStyle w:val="Strong"/>
          <w:color w:val="auto"/>
        </w:rPr>
        <w:t>3.3.</w:t>
      </w:r>
      <w:r w:rsidRPr="006564B9">
        <w:rPr>
          <w:color w:val="auto"/>
        </w:rPr>
        <w:t xml:space="preserve"> </w:t>
      </w:r>
      <w:r w:rsidR="006564B9" w:rsidRPr="006564B9">
        <w:rPr>
          <w:color w:val="auto"/>
        </w:rPr>
        <w:t xml:space="preserve">Töövõtja viib läbi valminud töö tutvustamise tellija partnerasutusele, juhul kui tellija sellise vajaduse esitab. </w:t>
      </w:r>
    </w:p>
    <w:p w14:paraId="3F806845" w14:textId="243BCF1E" w:rsidR="006564B9" w:rsidRDefault="006564B9" w:rsidP="00CF175D">
      <w:pPr>
        <w:pStyle w:val="NormalWeb"/>
        <w:rPr>
          <w:rFonts w:ascii="Arial" w:hAnsi="Arial" w:cs="Arial"/>
        </w:rPr>
      </w:pPr>
    </w:p>
    <w:p w14:paraId="1760CA8A" w14:textId="56ABD3DE" w:rsidR="00FB6312" w:rsidRPr="00FB6312" w:rsidRDefault="00FB6312" w:rsidP="00FB6312">
      <w:pPr>
        <w:pStyle w:val="NormalWeb"/>
        <w:rPr>
          <w:rFonts w:ascii="Arial" w:hAnsi="Arial" w:cs="Arial"/>
          <w:b/>
          <w:bCs/>
        </w:rPr>
      </w:pPr>
      <w:r w:rsidRPr="00FB6312">
        <w:rPr>
          <w:rFonts w:ascii="Arial" w:hAnsi="Arial" w:cs="Arial"/>
          <w:b/>
          <w:bCs/>
        </w:rPr>
        <w:t>4. PAKKUMUS PEAB SISALDAMA</w:t>
      </w:r>
    </w:p>
    <w:p w14:paraId="53AA2F4D" w14:textId="07E3D106" w:rsidR="00CF175D" w:rsidRPr="00CF175D" w:rsidRDefault="00CF175D" w:rsidP="00CF175D">
      <w:pPr>
        <w:pStyle w:val="Heading1"/>
        <w:spacing w:after="231"/>
        <w:ind w:left="-5"/>
        <w:rPr>
          <w:rFonts w:ascii="Arial" w:hAnsi="Arial" w:cs="Arial"/>
          <w:b/>
          <w:bCs/>
          <w:color w:val="auto"/>
          <w:sz w:val="22"/>
          <w:szCs w:val="22"/>
        </w:rPr>
      </w:pPr>
      <w:r w:rsidRPr="00CF175D">
        <w:rPr>
          <w:rFonts w:ascii="Arial" w:hAnsi="Arial" w:cs="Arial"/>
          <w:b/>
          <w:bCs/>
          <w:color w:val="auto"/>
          <w:sz w:val="22"/>
          <w:szCs w:val="22"/>
        </w:rPr>
        <w:t xml:space="preserve">Punktis 2.1. toodud uuringu kirjeldust sh: </w:t>
      </w:r>
    </w:p>
    <w:p w14:paraId="1ECD95A0" w14:textId="22FEC3F9" w:rsidR="00CF175D" w:rsidRPr="00E26478" w:rsidRDefault="00CF175D" w:rsidP="005B6772">
      <w:pPr>
        <w:spacing w:after="44"/>
      </w:pPr>
      <w:r w:rsidRPr="00E26478">
        <w:t xml:space="preserve">- </w:t>
      </w:r>
      <w:r w:rsidR="005B6772" w:rsidRPr="00E26478">
        <w:t>teave</w:t>
      </w:r>
      <w:r w:rsidR="00C10D49" w:rsidRPr="00E26478">
        <w:t>t</w:t>
      </w:r>
      <w:r w:rsidRPr="00E26478">
        <w:t xml:space="preserve"> pakkuja varasema</w:t>
      </w:r>
      <w:r w:rsidR="005B6772" w:rsidRPr="00E26478">
        <w:t xml:space="preserve">te kogemuste kohta </w:t>
      </w:r>
      <w:r w:rsidRPr="00E26478">
        <w:t>sarnaste riskimudelite väljatöötamisel sotsiaalvaldkonnas või muudes seotud valdkondades (nt tervishoid, haridus, õiguskaitse)</w:t>
      </w:r>
      <w:r w:rsidR="00C10D49" w:rsidRPr="00E26478">
        <w:t xml:space="preserve">; </w:t>
      </w:r>
    </w:p>
    <w:p w14:paraId="4FF1D678" w14:textId="759DD690" w:rsidR="00CF175D" w:rsidRPr="00E26478" w:rsidRDefault="00CF175D" w:rsidP="005B6772">
      <w:pPr>
        <w:spacing w:after="44"/>
      </w:pPr>
      <w:r w:rsidRPr="00E26478">
        <w:t xml:space="preserve">- </w:t>
      </w:r>
      <w:r w:rsidR="005B6772" w:rsidRPr="00E26478">
        <w:t>teave</w:t>
      </w:r>
      <w:r w:rsidR="00C10D49" w:rsidRPr="00E26478">
        <w:t>t</w:t>
      </w:r>
      <w:r w:rsidR="005B6772" w:rsidRPr="00E26478">
        <w:t xml:space="preserve"> pakkuja kompetentsi kohta – kas meeskonnas on </w:t>
      </w:r>
      <w:r w:rsidRPr="00E26478">
        <w:t>eksperte, kellel on süviti teadmised sotsiaaltöö ja sotsiaalteenuste korraldamisest, haldusjärelevalvest ja andmeanalüüsist</w:t>
      </w:r>
      <w:r w:rsidR="00D72CC0" w:rsidRPr="00E26478">
        <w:t>;</w:t>
      </w:r>
    </w:p>
    <w:p w14:paraId="0BBD8E0B" w14:textId="20E4371A" w:rsidR="00CF175D" w:rsidRPr="00E26478" w:rsidRDefault="00CF175D" w:rsidP="005B6772">
      <w:pPr>
        <w:spacing w:after="44"/>
      </w:pPr>
      <w:r w:rsidRPr="00E26478">
        <w:t xml:space="preserve">- </w:t>
      </w:r>
      <w:r w:rsidR="005B6772" w:rsidRPr="00E26478">
        <w:t>teave</w:t>
      </w:r>
      <w:r w:rsidR="00C10D49" w:rsidRPr="00E26478">
        <w:t>t</w:t>
      </w:r>
      <w:r w:rsidR="005B6772" w:rsidRPr="00E26478">
        <w:t xml:space="preserve"> pakkuja </w:t>
      </w:r>
      <w:r w:rsidRPr="00E26478">
        <w:t>rahvusvahelis</w:t>
      </w:r>
      <w:r w:rsidR="005B6772" w:rsidRPr="00E26478">
        <w:t>te</w:t>
      </w:r>
      <w:r w:rsidRPr="00E26478">
        <w:t xml:space="preserve"> või kohalik</w:t>
      </w:r>
      <w:r w:rsidR="005B6772" w:rsidRPr="00E26478">
        <w:t>e</w:t>
      </w:r>
      <w:r w:rsidRPr="00E26478">
        <w:t xml:space="preserve"> </w:t>
      </w:r>
      <w:r w:rsidR="005B6772" w:rsidRPr="00E26478">
        <w:t>parimate</w:t>
      </w:r>
      <w:r w:rsidRPr="00E26478">
        <w:t xml:space="preserve"> </w:t>
      </w:r>
      <w:r w:rsidR="005B6772" w:rsidRPr="00E26478">
        <w:t xml:space="preserve">praktikate rakendamise kohta </w:t>
      </w:r>
      <w:r w:rsidRPr="00E26478">
        <w:t>varasemate</w:t>
      </w:r>
      <w:r w:rsidR="009904BA" w:rsidRPr="00E26478">
        <w:t xml:space="preserve"> sarnaste analüüside </w:t>
      </w:r>
      <w:r w:rsidRPr="00E26478">
        <w:t>koostamisel</w:t>
      </w:r>
      <w:r w:rsidR="00D72CC0" w:rsidRPr="00E26478">
        <w:t>;</w:t>
      </w:r>
    </w:p>
    <w:p w14:paraId="7716462B" w14:textId="13FDDECC" w:rsidR="00CF175D" w:rsidRPr="00E26478" w:rsidRDefault="005B6772" w:rsidP="005B6772">
      <w:pPr>
        <w:spacing w:after="44"/>
        <w:rPr>
          <w:color w:val="auto"/>
        </w:rPr>
      </w:pPr>
      <w:r w:rsidRPr="00E26478">
        <w:rPr>
          <w:color w:val="auto"/>
        </w:rPr>
        <w:t xml:space="preserve">- </w:t>
      </w:r>
      <w:r w:rsidR="00CF175D" w:rsidRPr="00E26478">
        <w:rPr>
          <w:color w:val="auto"/>
        </w:rPr>
        <w:t xml:space="preserve">pakkuja </w:t>
      </w:r>
      <w:r w:rsidR="007F3DB9" w:rsidRPr="00E26478">
        <w:rPr>
          <w:color w:val="auto"/>
        </w:rPr>
        <w:t>nägemust</w:t>
      </w:r>
      <w:r w:rsidR="00CF175D" w:rsidRPr="00E26478">
        <w:rPr>
          <w:color w:val="auto"/>
        </w:rPr>
        <w:t xml:space="preserve"> uurimisülesande </w:t>
      </w:r>
      <w:r w:rsidR="002D2A19" w:rsidRPr="00E26478">
        <w:rPr>
          <w:color w:val="auto"/>
        </w:rPr>
        <w:t>püstitamisest</w:t>
      </w:r>
      <w:r w:rsidR="00CF175D" w:rsidRPr="00E26478">
        <w:rPr>
          <w:color w:val="auto"/>
        </w:rPr>
        <w:t xml:space="preserve"> (sh täpsustatud uurimisküsimused); </w:t>
      </w:r>
    </w:p>
    <w:p w14:paraId="5F561668" w14:textId="3B03D1E9" w:rsidR="00520B01" w:rsidRPr="00E26478" w:rsidRDefault="00CF175D" w:rsidP="009904BA">
      <w:pPr>
        <w:spacing w:after="44"/>
        <w:ind w:left="0" w:firstLine="0"/>
        <w:rPr>
          <w:color w:val="auto"/>
        </w:rPr>
      </w:pPr>
      <w:r w:rsidRPr="00E26478">
        <w:rPr>
          <w:color w:val="auto"/>
        </w:rPr>
        <w:t xml:space="preserve">- </w:t>
      </w:r>
      <w:r w:rsidR="00D72CC0" w:rsidRPr="00E26478">
        <w:rPr>
          <w:color w:val="auto"/>
        </w:rPr>
        <w:t xml:space="preserve">pakkuja käsitlust asjakohaste riskitegurite tuvastamiseks </w:t>
      </w:r>
      <w:r w:rsidRPr="00E26478">
        <w:rPr>
          <w:color w:val="auto"/>
        </w:rPr>
        <w:t xml:space="preserve">ja </w:t>
      </w:r>
      <w:r w:rsidR="00D72CC0" w:rsidRPr="00E26478">
        <w:rPr>
          <w:color w:val="auto"/>
        </w:rPr>
        <w:t xml:space="preserve">esile toomiseks; </w:t>
      </w:r>
    </w:p>
    <w:p w14:paraId="6D115BD1" w14:textId="5DDDB4FB" w:rsidR="007F3DB9" w:rsidRPr="00E26478" w:rsidRDefault="00520B01" w:rsidP="007F3DB9">
      <w:pPr>
        <w:spacing w:after="44"/>
        <w:ind w:left="0" w:firstLine="0"/>
        <w:rPr>
          <w:color w:val="auto"/>
        </w:rPr>
      </w:pPr>
      <w:r w:rsidRPr="00E26478">
        <w:rPr>
          <w:color w:val="auto"/>
        </w:rPr>
        <w:t xml:space="preserve">- </w:t>
      </w:r>
      <w:r w:rsidR="00D72CC0" w:rsidRPr="00E26478">
        <w:rPr>
          <w:color w:val="auto"/>
        </w:rPr>
        <w:t xml:space="preserve">pakkuja </w:t>
      </w:r>
      <w:r w:rsidR="00E26478" w:rsidRPr="00E26478">
        <w:rPr>
          <w:color w:val="auto"/>
        </w:rPr>
        <w:t>arusaama</w:t>
      </w:r>
      <w:r w:rsidR="00D72CC0" w:rsidRPr="00E26478">
        <w:rPr>
          <w:color w:val="auto"/>
        </w:rPr>
        <w:t xml:space="preserve">, </w:t>
      </w:r>
      <w:r w:rsidRPr="00E26478">
        <w:rPr>
          <w:color w:val="auto"/>
        </w:rPr>
        <w:t>k</w:t>
      </w:r>
      <w:r w:rsidR="00CF175D" w:rsidRPr="00E26478">
        <w:rPr>
          <w:color w:val="auto"/>
        </w:rPr>
        <w:t xml:space="preserve">uidas </w:t>
      </w:r>
      <w:r w:rsidRPr="00E26478">
        <w:rPr>
          <w:color w:val="auto"/>
        </w:rPr>
        <w:t>tagatakse</w:t>
      </w:r>
      <w:r w:rsidR="00CF175D" w:rsidRPr="00E26478">
        <w:rPr>
          <w:color w:val="auto"/>
        </w:rPr>
        <w:t xml:space="preserve"> riskimudel</w:t>
      </w:r>
      <w:r w:rsidR="0009195F" w:rsidRPr="00E26478">
        <w:rPr>
          <w:color w:val="auto"/>
        </w:rPr>
        <w:t>i</w:t>
      </w:r>
      <w:r w:rsidR="00CF175D" w:rsidRPr="00E26478">
        <w:rPr>
          <w:color w:val="auto"/>
        </w:rPr>
        <w:t xml:space="preserve"> piisav </w:t>
      </w:r>
      <w:r w:rsidR="0009195F" w:rsidRPr="00E26478">
        <w:rPr>
          <w:color w:val="auto"/>
        </w:rPr>
        <w:t>paindlikkus</w:t>
      </w:r>
      <w:r w:rsidR="00CF175D" w:rsidRPr="00E26478">
        <w:rPr>
          <w:color w:val="auto"/>
        </w:rPr>
        <w:t xml:space="preserve"> ja </w:t>
      </w:r>
      <w:r w:rsidR="0009195F" w:rsidRPr="00E26478">
        <w:rPr>
          <w:color w:val="auto"/>
        </w:rPr>
        <w:t>kohandatavus</w:t>
      </w:r>
      <w:r w:rsidR="00CF175D" w:rsidRPr="00E26478">
        <w:rPr>
          <w:color w:val="auto"/>
        </w:rPr>
        <w:t xml:space="preserve"> kohalike omavalitsuste erinevatele tingimustele ja vajadustele</w:t>
      </w:r>
      <w:r w:rsidR="00D72CC0" w:rsidRPr="00E26478">
        <w:rPr>
          <w:color w:val="auto"/>
        </w:rPr>
        <w:t>;</w:t>
      </w:r>
    </w:p>
    <w:p w14:paraId="18DE055F" w14:textId="3F7C212A" w:rsidR="007F3DB9" w:rsidRPr="00D72CC0" w:rsidRDefault="007F3DB9" w:rsidP="009904BA">
      <w:pPr>
        <w:spacing w:after="44"/>
        <w:ind w:left="0" w:firstLine="0"/>
      </w:pPr>
      <w:r w:rsidRPr="00E26478">
        <w:rPr>
          <w:rFonts w:eastAsia="Times New Roman"/>
          <w:color w:val="auto"/>
          <w:kern w:val="0"/>
          <w14:ligatures w14:val="none"/>
        </w:rPr>
        <w:t>- riskimudeli valideerimis</w:t>
      </w:r>
      <w:r w:rsidR="00DF39FE" w:rsidRPr="00E26478">
        <w:rPr>
          <w:rFonts w:eastAsia="Times New Roman"/>
          <w:color w:val="auto"/>
          <w:kern w:val="0"/>
          <w14:ligatures w14:val="none"/>
        </w:rPr>
        <w:t>ega seonduvad tegevused;</w:t>
      </w:r>
      <w:r w:rsidR="00DF39FE">
        <w:rPr>
          <w:rFonts w:eastAsia="Times New Roman"/>
          <w:color w:val="auto"/>
          <w:kern w:val="0"/>
          <w14:ligatures w14:val="none"/>
        </w:rPr>
        <w:t xml:space="preserve"> </w:t>
      </w:r>
    </w:p>
    <w:p w14:paraId="0424E63B" w14:textId="458FADED" w:rsidR="00CF175D" w:rsidRPr="00D72CC0" w:rsidRDefault="00CF175D" w:rsidP="00520B01">
      <w:pPr>
        <w:spacing w:after="44"/>
      </w:pPr>
      <w:r w:rsidRPr="00D72CC0">
        <w:t xml:space="preserve">- </w:t>
      </w:r>
      <w:r w:rsidR="00E26478">
        <w:t>KOV</w:t>
      </w:r>
      <w:r w:rsidRPr="00D72CC0">
        <w:t xml:space="preserve"> sotsiaaltöö spetsialistide ja teiste sidusrühmade </w:t>
      </w:r>
      <w:r w:rsidR="00D72CC0">
        <w:t>teadmiste</w:t>
      </w:r>
      <w:r w:rsidRPr="00D72CC0">
        <w:t xml:space="preserve"> ja </w:t>
      </w:r>
      <w:r w:rsidR="00D72CC0">
        <w:t xml:space="preserve">kogemuste kaasamise kava; </w:t>
      </w:r>
    </w:p>
    <w:p w14:paraId="3FDD7671" w14:textId="5A0D5DAC" w:rsidR="00CF175D" w:rsidRPr="00D72CC0" w:rsidRDefault="00CF175D" w:rsidP="00520B01">
      <w:pPr>
        <w:spacing w:after="44"/>
      </w:pPr>
      <w:r w:rsidRPr="00D72CC0">
        <w:t xml:space="preserve">- </w:t>
      </w:r>
      <w:r w:rsidR="00D72CC0">
        <w:t xml:space="preserve">esmast ülevaadet, milliseid andmeid </w:t>
      </w:r>
      <w:r w:rsidR="0009195F" w:rsidRPr="00D72CC0">
        <w:t>plaanitakse</w:t>
      </w:r>
      <w:r w:rsidRPr="00D72CC0">
        <w:t xml:space="preserve"> kasutada riskimudeli koostamiseks </w:t>
      </w:r>
      <w:r w:rsidR="00966A86">
        <w:t xml:space="preserve">ning nägemust andmete kogumisest, töötlemisest ja analüüsist; </w:t>
      </w:r>
    </w:p>
    <w:p w14:paraId="2E15AD8F" w14:textId="180F7395" w:rsidR="00CF175D" w:rsidRPr="00D72CC0" w:rsidRDefault="00CF175D" w:rsidP="00520B01">
      <w:pPr>
        <w:spacing w:after="44"/>
      </w:pPr>
      <w:r w:rsidRPr="00D72CC0">
        <w:t xml:space="preserve">- andmete </w:t>
      </w:r>
      <w:r w:rsidR="00D72CC0">
        <w:t>kogumise</w:t>
      </w:r>
      <w:r w:rsidRPr="00D72CC0">
        <w:t xml:space="preserve"> ja analüüs</w:t>
      </w:r>
      <w:r w:rsidR="00D72CC0">
        <w:t>i</w:t>
      </w:r>
      <w:r w:rsidRPr="00D72CC0">
        <w:t xml:space="preserve"> </w:t>
      </w:r>
      <w:r w:rsidR="00D72CC0">
        <w:t>vastavust</w:t>
      </w:r>
      <w:r w:rsidRPr="00D72CC0">
        <w:t xml:space="preserve"> kehtivate õigusaktide ja parimate tavadega, sealhulgas isikuandmete kaitse nõuetega</w:t>
      </w:r>
      <w:r w:rsidR="00D72CC0">
        <w:t>;</w:t>
      </w:r>
    </w:p>
    <w:p w14:paraId="2607902B" w14:textId="0F8BB57D" w:rsidR="0009195F" w:rsidRPr="008426D0" w:rsidRDefault="00CF175D" w:rsidP="008426D0">
      <w:pPr>
        <w:spacing w:after="44"/>
      </w:pPr>
      <w:r w:rsidRPr="00D72CC0">
        <w:t xml:space="preserve">- </w:t>
      </w:r>
      <w:r w:rsidR="00D72CC0">
        <w:t>ülevaadet, milliseid</w:t>
      </w:r>
      <w:r w:rsidRPr="00D72CC0">
        <w:t xml:space="preserve"> statistilisi ja analüütilisi tööriistu ning meetodeid plaanib pakkuja kasutada, et tagada mudeli usaldusväärsus ja täpsus</w:t>
      </w:r>
      <w:r w:rsidR="00D72CC0">
        <w:t xml:space="preserve">; </w:t>
      </w:r>
    </w:p>
    <w:p w14:paraId="74387EC9" w14:textId="77E615EB" w:rsidR="0009195F" w:rsidRDefault="0009195F" w:rsidP="0009195F">
      <w:pPr>
        <w:pStyle w:val="Heading1"/>
        <w:ind w:left="-5"/>
        <w:rPr>
          <w:rFonts w:ascii="Arial" w:hAnsi="Arial" w:cs="Arial"/>
          <w:b/>
          <w:bCs/>
          <w:color w:val="auto"/>
          <w:sz w:val="22"/>
          <w:szCs w:val="22"/>
        </w:rPr>
      </w:pPr>
      <w:r w:rsidRPr="00C10D49">
        <w:rPr>
          <w:rFonts w:ascii="Arial" w:hAnsi="Arial" w:cs="Arial"/>
          <w:b/>
          <w:bCs/>
          <w:color w:val="auto"/>
          <w:sz w:val="22"/>
          <w:szCs w:val="22"/>
        </w:rPr>
        <w:t xml:space="preserve">Punktis 2.2. tellitava andmeanalüüsi vahendi loomise idee sh: </w:t>
      </w:r>
    </w:p>
    <w:p w14:paraId="7151DED3" w14:textId="1443FE9E" w:rsidR="008426D0" w:rsidRDefault="008426D0" w:rsidP="00274E41">
      <w:pPr>
        <w:pStyle w:val="NoSpacing"/>
      </w:pPr>
      <w:r>
        <w:t xml:space="preserve">- andmeanalüüsivahendi testimise protsessi kirjeldus; </w:t>
      </w:r>
    </w:p>
    <w:p w14:paraId="56155AA7" w14:textId="2C486B87" w:rsidR="008426D0" w:rsidRDefault="00274E41" w:rsidP="00274E41">
      <w:pPr>
        <w:pStyle w:val="NoSpacing"/>
      </w:pPr>
      <w:r w:rsidRPr="00274E41">
        <w:t xml:space="preserve">- </w:t>
      </w:r>
      <w:r w:rsidR="008426D0">
        <w:t xml:space="preserve">andmeanalüüsi tööriista testimise põhjal saadud tulemuste valiidsuse hindamine ja sellega seotud tegevused; </w:t>
      </w:r>
    </w:p>
    <w:p w14:paraId="74337978" w14:textId="44D77F2A" w:rsidR="008426D0" w:rsidRDefault="008426D0" w:rsidP="00274E41">
      <w:pPr>
        <w:pStyle w:val="NoSpacing"/>
      </w:pPr>
      <w:r>
        <w:t xml:space="preserve">- teave kavandatava tööriista kohaldamise võimaluste kohta olukordades, kus uue teabe või andmete saamine võib muuta riskihinnanguid; </w:t>
      </w:r>
    </w:p>
    <w:p w14:paraId="4DCBA121" w14:textId="6111C4B1" w:rsidR="008426D0" w:rsidRPr="00E26478" w:rsidRDefault="008426D0" w:rsidP="00E26478">
      <w:pPr>
        <w:pStyle w:val="NoSpacing"/>
      </w:pPr>
      <w:r>
        <w:t>- pakkuja nägemus andmeanalüüsi tööriista jätkusuutlikkuse tagamisest.</w:t>
      </w:r>
    </w:p>
    <w:p w14:paraId="21A2DABD" w14:textId="77777777" w:rsidR="008426D0" w:rsidRDefault="008426D0" w:rsidP="00E26478">
      <w:pPr>
        <w:spacing w:line="249" w:lineRule="auto"/>
        <w:ind w:left="0" w:firstLine="0"/>
        <w:rPr>
          <w:color w:val="auto"/>
        </w:rPr>
      </w:pPr>
    </w:p>
    <w:p w14:paraId="25264539" w14:textId="77777777" w:rsidR="00C10D49" w:rsidRPr="00C10D49" w:rsidRDefault="00C10D49" w:rsidP="00C10D49">
      <w:pPr>
        <w:spacing w:line="249" w:lineRule="auto"/>
        <w:ind w:left="0" w:firstLine="0"/>
        <w:rPr>
          <w:b/>
          <w:bCs/>
          <w:color w:val="auto"/>
        </w:rPr>
      </w:pPr>
      <w:r w:rsidRPr="00C10D49">
        <w:rPr>
          <w:b/>
          <w:bCs/>
          <w:color w:val="auto"/>
        </w:rPr>
        <w:t xml:space="preserve">Punktis 2.3. andmeanalüüsivahendi testimise ja kasutajate koolitamisega seonduv sh: </w:t>
      </w:r>
    </w:p>
    <w:p w14:paraId="483A6536" w14:textId="7E05CDC3" w:rsidR="00C10D49" w:rsidRPr="00C10D49" w:rsidRDefault="00C10D49" w:rsidP="00C10D49">
      <w:pPr>
        <w:spacing w:line="249" w:lineRule="auto"/>
        <w:ind w:left="0" w:firstLine="0"/>
        <w:rPr>
          <w:color w:val="auto"/>
        </w:rPr>
      </w:pPr>
      <w:r w:rsidRPr="00C10D49">
        <w:rPr>
          <w:color w:val="auto"/>
        </w:rPr>
        <w:t>-</w:t>
      </w:r>
      <w:r w:rsidRPr="00C10D49">
        <w:rPr>
          <w:color w:val="auto"/>
        </w:rPr>
        <w:tab/>
      </w:r>
      <w:r w:rsidR="00DF39FE">
        <w:rPr>
          <w:color w:val="auto"/>
        </w:rPr>
        <w:t xml:space="preserve">ülevaade </w:t>
      </w:r>
      <w:r w:rsidR="008426D0">
        <w:rPr>
          <w:color w:val="auto"/>
        </w:rPr>
        <w:t>koolituse õpiväljundi</w:t>
      </w:r>
      <w:r w:rsidR="00DF39FE">
        <w:rPr>
          <w:color w:val="auto"/>
        </w:rPr>
        <w:t>test</w:t>
      </w:r>
      <w:r w:rsidR="008426D0">
        <w:rPr>
          <w:color w:val="auto"/>
        </w:rPr>
        <w:t xml:space="preserve"> ja </w:t>
      </w:r>
      <w:r w:rsidR="00DF39FE">
        <w:rPr>
          <w:color w:val="auto"/>
        </w:rPr>
        <w:t>mahust</w:t>
      </w:r>
      <w:r w:rsidRPr="00C10D49">
        <w:rPr>
          <w:color w:val="auto"/>
        </w:rPr>
        <w:t xml:space="preserve">; </w:t>
      </w:r>
    </w:p>
    <w:p w14:paraId="0349A9BA" w14:textId="6436809C" w:rsidR="00C10D49" w:rsidRPr="00C10D49" w:rsidRDefault="00C10D49" w:rsidP="00C10D49">
      <w:pPr>
        <w:spacing w:line="249" w:lineRule="auto"/>
        <w:ind w:left="0" w:firstLine="0"/>
        <w:rPr>
          <w:color w:val="auto"/>
        </w:rPr>
      </w:pPr>
      <w:r w:rsidRPr="00C10D49">
        <w:rPr>
          <w:color w:val="auto"/>
        </w:rPr>
        <w:t>-</w:t>
      </w:r>
      <w:r w:rsidRPr="00C10D49">
        <w:rPr>
          <w:color w:val="auto"/>
        </w:rPr>
        <w:tab/>
      </w:r>
      <w:proofErr w:type="spellStart"/>
      <w:r w:rsidR="008426D0">
        <w:rPr>
          <w:color w:val="auto"/>
        </w:rPr>
        <w:t>juhend-ja</w:t>
      </w:r>
      <w:proofErr w:type="spellEnd"/>
      <w:r w:rsidR="008426D0">
        <w:rPr>
          <w:color w:val="auto"/>
        </w:rPr>
        <w:t xml:space="preserve"> koolitusmaterjalide </w:t>
      </w:r>
      <w:r w:rsidR="00E26478">
        <w:rPr>
          <w:color w:val="auto"/>
        </w:rPr>
        <w:t>tagamine</w:t>
      </w:r>
    </w:p>
    <w:p w14:paraId="0E25DD19" w14:textId="19F0C4B4" w:rsidR="005D4F0D" w:rsidRPr="00E26478" w:rsidRDefault="00C10D49" w:rsidP="00E26478">
      <w:pPr>
        <w:spacing w:line="249" w:lineRule="auto"/>
        <w:ind w:left="0" w:firstLine="0"/>
        <w:rPr>
          <w:color w:val="auto"/>
        </w:rPr>
      </w:pPr>
      <w:r w:rsidRPr="00C10D49">
        <w:rPr>
          <w:color w:val="auto"/>
        </w:rPr>
        <w:t>-</w:t>
      </w:r>
    </w:p>
    <w:p w14:paraId="5D9FCC1E" w14:textId="097F9BD1" w:rsidR="005D4F0D" w:rsidRPr="000C23E6" w:rsidRDefault="00C24911" w:rsidP="006E4AFF">
      <w:pPr>
        <w:spacing w:after="297" w:line="263" w:lineRule="auto"/>
        <w:ind w:left="9"/>
      </w:pPr>
      <w:r w:rsidRPr="000C23E6">
        <w:rPr>
          <w:b/>
        </w:rPr>
        <w:t xml:space="preserve">Pakkuja </w:t>
      </w:r>
      <w:r w:rsidR="002B2C6C">
        <w:rPr>
          <w:b/>
        </w:rPr>
        <w:t>vaadet</w:t>
      </w:r>
      <w:r w:rsidRPr="000C23E6">
        <w:rPr>
          <w:b/>
        </w:rPr>
        <w:t xml:space="preserve"> lepingu täitmise eelduseks olevatest asjaoludest ja ajakavast, sh:  </w:t>
      </w:r>
    </w:p>
    <w:p w14:paraId="5666890B" w14:textId="169626C6" w:rsidR="005D4F0D" w:rsidRPr="000C23E6" w:rsidRDefault="00C24911" w:rsidP="006E4AFF">
      <w:pPr>
        <w:numPr>
          <w:ilvl w:val="0"/>
          <w:numId w:val="8"/>
        </w:numPr>
        <w:ind w:hanging="360"/>
      </w:pPr>
      <w:r w:rsidRPr="000C23E6">
        <w:t xml:space="preserve">Tellitava töö kolme etapi läbiviimise kirjeldus tegevuste elluviimisel (sh vaheraportite esitamise ajad </w:t>
      </w:r>
      <w:r w:rsidRPr="000C23E6">
        <w:rPr>
          <w:b/>
          <w:bCs/>
        </w:rPr>
        <w:t>iga etapi lõpus</w:t>
      </w:r>
      <w:r w:rsidRPr="000C23E6">
        <w:t xml:space="preserve">);  </w:t>
      </w:r>
    </w:p>
    <w:p w14:paraId="36A44549" w14:textId="39DDD01B" w:rsidR="005D4F0D" w:rsidRPr="00543E47" w:rsidRDefault="00C24911" w:rsidP="006E4AFF">
      <w:pPr>
        <w:numPr>
          <w:ilvl w:val="0"/>
          <w:numId w:val="8"/>
        </w:numPr>
        <w:ind w:hanging="360"/>
        <w:rPr>
          <w:color w:val="auto"/>
        </w:rPr>
      </w:pPr>
      <w:r w:rsidRPr="00543E47">
        <w:rPr>
          <w:color w:val="auto"/>
        </w:rPr>
        <w:t>Väljamaksete toimumi</w:t>
      </w:r>
      <w:r w:rsidR="0047238A" w:rsidRPr="00543E47">
        <w:rPr>
          <w:color w:val="auto"/>
        </w:rPr>
        <w:t>ne</w:t>
      </w:r>
      <w:r w:rsidRPr="00543E47">
        <w:rPr>
          <w:color w:val="auto"/>
        </w:rPr>
        <w:t xml:space="preserve"> </w:t>
      </w:r>
      <w:r w:rsidR="00E50838" w:rsidRPr="00543E47">
        <w:rPr>
          <w:color w:val="auto"/>
        </w:rPr>
        <w:t xml:space="preserve">(Vastavalt hankelepingu projektile väljamaksed kahes osas I etapi tööde järgselt ning III etapi tööde järgselt, seejuures </w:t>
      </w:r>
      <w:r w:rsidR="00E50838" w:rsidRPr="00543E47">
        <w:rPr>
          <w:b/>
          <w:bCs/>
          <w:color w:val="auto"/>
        </w:rPr>
        <w:t>peab pakkuja tööde planeerimisel ajakavas arvestama, et esimese etapi tööde eest oleks väljamakse planeeritud aastasse 2024 ning kolmanda etapi tööde eest aastasse 2025.)</w:t>
      </w:r>
      <w:r w:rsidR="00543E47" w:rsidRPr="00543E47">
        <w:rPr>
          <w:b/>
          <w:bCs/>
          <w:color w:val="auto"/>
        </w:rPr>
        <w:t>;</w:t>
      </w:r>
    </w:p>
    <w:p w14:paraId="5702D6A3" w14:textId="54DCE8DA" w:rsidR="005D4F0D" w:rsidRPr="000C23E6" w:rsidRDefault="00C24911" w:rsidP="006E4AFF">
      <w:pPr>
        <w:numPr>
          <w:ilvl w:val="0"/>
          <w:numId w:val="8"/>
        </w:numPr>
        <w:ind w:hanging="360"/>
      </w:pPr>
      <w:r w:rsidRPr="000C23E6">
        <w:t xml:space="preserve">Lisaandmete ja lubade (nt juurdepääsu õigused andmebaasidele jms) vajalikkuse hinnang;  </w:t>
      </w:r>
    </w:p>
    <w:p w14:paraId="22F1123E" w14:textId="650CCF4B" w:rsidR="005D4F0D" w:rsidRPr="000C23E6" w:rsidRDefault="00C24911" w:rsidP="006E4AFF">
      <w:pPr>
        <w:numPr>
          <w:ilvl w:val="0"/>
          <w:numId w:val="8"/>
        </w:numPr>
        <w:ind w:hanging="360"/>
      </w:pPr>
      <w:r w:rsidRPr="000C23E6">
        <w:t xml:space="preserve">lühikirjeldus koostööst Sotsiaalkindlustusametiga (ootused, vastutus, rollid, kohtumiste sagedus jne). </w:t>
      </w:r>
    </w:p>
    <w:sectPr w:rsidR="005D4F0D" w:rsidRPr="000C23E6">
      <w:pgSz w:w="11906" w:h="16838"/>
      <w:pgMar w:top="1498" w:right="1408" w:bottom="1581" w:left="140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CEB"/>
    <w:multiLevelType w:val="hybridMultilevel"/>
    <w:tmpl w:val="F926CE68"/>
    <w:lvl w:ilvl="0" w:tplc="EA08EAEC">
      <w:start w:val="1"/>
      <w:numFmt w:val="lowerLetter"/>
      <w:lvlText w:val="%1)"/>
      <w:lvlJc w:val="left"/>
      <w:pPr>
        <w:ind w:left="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AA824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0E33F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308B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0667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8C219A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E080A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CE2C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CFE07F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82205A"/>
    <w:multiLevelType w:val="multilevel"/>
    <w:tmpl w:val="A1FCB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A147A"/>
    <w:multiLevelType w:val="multilevel"/>
    <w:tmpl w:val="9956F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F26EFC"/>
    <w:multiLevelType w:val="multilevel"/>
    <w:tmpl w:val="F506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4476E9"/>
    <w:multiLevelType w:val="multilevel"/>
    <w:tmpl w:val="191EF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43870"/>
    <w:multiLevelType w:val="hybridMultilevel"/>
    <w:tmpl w:val="E468E994"/>
    <w:lvl w:ilvl="0" w:tplc="6144D862">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0EA7500">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ECE4246">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56F97C">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2ED2B6">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AAEFFC">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680B06">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6080F9C">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2EBFD0">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2B701C0E"/>
    <w:multiLevelType w:val="multilevel"/>
    <w:tmpl w:val="E100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0F355B"/>
    <w:multiLevelType w:val="multilevel"/>
    <w:tmpl w:val="5712E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A3FC5"/>
    <w:multiLevelType w:val="multilevel"/>
    <w:tmpl w:val="4F68A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93111"/>
    <w:multiLevelType w:val="multilevel"/>
    <w:tmpl w:val="27B4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800CA"/>
    <w:multiLevelType w:val="multilevel"/>
    <w:tmpl w:val="FA60BD0E"/>
    <w:lvl w:ilvl="0">
      <w:start w:val="2"/>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A89380F"/>
    <w:multiLevelType w:val="hybridMultilevel"/>
    <w:tmpl w:val="88B881C8"/>
    <w:lvl w:ilvl="0" w:tplc="48A69DE0">
      <w:start w:val="1"/>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19E1A04">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530ED6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A168386">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096667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382606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FDEA84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298CB46">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A42B9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B413801"/>
    <w:multiLevelType w:val="hybridMultilevel"/>
    <w:tmpl w:val="5D120012"/>
    <w:lvl w:ilvl="0" w:tplc="06B47416">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A448A">
      <w:start w:val="1"/>
      <w:numFmt w:val="bullet"/>
      <w:lvlText w:val="•"/>
      <w:lvlJc w:val="left"/>
      <w:pPr>
        <w:ind w:left="7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5C03472">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9CDC7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5E7AE2">
      <w:start w:val="1"/>
      <w:numFmt w:val="bullet"/>
      <w:lvlText w:val="o"/>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20031C">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F286F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427FA6">
      <w:start w:val="1"/>
      <w:numFmt w:val="bullet"/>
      <w:lvlText w:val="o"/>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C47B8A">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936EE5"/>
    <w:multiLevelType w:val="hybridMultilevel"/>
    <w:tmpl w:val="25F0CC84"/>
    <w:lvl w:ilvl="0" w:tplc="841836E6">
      <w:start w:val="1"/>
      <w:numFmt w:val="bullet"/>
      <w:lvlText w:val="o"/>
      <w:lvlJc w:val="left"/>
      <w:pPr>
        <w:ind w:left="4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0C0E1E0">
      <w:start w:val="1"/>
      <w:numFmt w:val="bullet"/>
      <w:lvlText w:val="o"/>
      <w:lvlJc w:val="left"/>
      <w:pPr>
        <w:ind w:left="11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0C226B8">
      <w:start w:val="1"/>
      <w:numFmt w:val="bullet"/>
      <w:lvlText w:val="▪"/>
      <w:lvlJc w:val="left"/>
      <w:pPr>
        <w:ind w:left="18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B958D77A">
      <w:start w:val="1"/>
      <w:numFmt w:val="bullet"/>
      <w:lvlText w:val="•"/>
      <w:lvlJc w:val="left"/>
      <w:pPr>
        <w:ind w:left="26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FECC8F98">
      <w:start w:val="1"/>
      <w:numFmt w:val="bullet"/>
      <w:lvlText w:val="o"/>
      <w:lvlJc w:val="left"/>
      <w:pPr>
        <w:ind w:left="332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B701580">
      <w:start w:val="1"/>
      <w:numFmt w:val="bullet"/>
      <w:lvlText w:val="▪"/>
      <w:lvlJc w:val="left"/>
      <w:pPr>
        <w:ind w:left="404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75CA1A8">
      <w:start w:val="1"/>
      <w:numFmt w:val="bullet"/>
      <w:lvlText w:val="•"/>
      <w:lvlJc w:val="left"/>
      <w:pPr>
        <w:ind w:left="476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8FAF7EC">
      <w:start w:val="1"/>
      <w:numFmt w:val="bullet"/>
      <w:lvlText w:val="o"/>
      <w:lvlJc w:val="left"/>
      <w:pPr>
        <w:ind w:left="548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C5C0E05A">
      <w:start w:val="1"/>
      <w:numFmt w:val="bullet"/>
      <w:lvlText w:val="▪"/>
      <w:lvlJc w:val="left"/>
      <w:pPr>
        <w:ind w:left="6202"/>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6327F5E"/>
    <w:multiLevelType w:val="hybridMultilevel"/>
    <w:tmpl w:val="0B8EBFEA"/>
    <w:lvl w:ilvl="0" w:tplc="1504984E">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FCC770">
      <w:start w:val="1"/>
      <w:numFmt w:val="bullet"/>
      <w:lvlText w:val="o"/>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6EF7C4">
      <w:start w:val="1"/>
      <w:numFmt w:val="bullet"/>
      <w:lvlText w:val="▪"/>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462526">
      <w:start w:val="1"/>
      <w:numFmt w:val="bullet"/>
      <w:lvlText w:val="•"/>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0802D0">
      <w:start w:val="1"/>
      <w:numFmt w:val="bullet"/>
      <w:lvlText w:val="o"/>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D05E18">
      <w:start w:val="1"/>
      <w:numFmt w:val="bullet"/>
      <w:lvlText w:val="▪"/>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4B0A2EA">
      <w:start w:val="1"/>
      <w:numFmt w:val="bullet"/>
      <w:lvlText w:val="•"/>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E068AC">
      <w:start w:val="1"/>
      <w:numFmt w:val="bullet"/>
      <w:lvlText w:val="o"/>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EEA4D4">
      <w:start w:val="1"/>
      <w:numFmt w:val="bullet"/>
      <w:lvlText w:val="▪"/>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4671D17"/>
    <w:multiLevelType w:val="multilevel"/>
    <w:tmpl w:val="3F70F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2F0D7B"/>
    <w:multiLevelType w:val="hybridMultilevel"/>
    <w:tmpl w:val="926E2FA8"/>
    <w:lvl w:ilvl="0" w:tplc="BFDE5A98">
      <w:start w:val="3"/>
      <w:numFmt w:val="decimal"/>
      <w:lvlText w:val="%1."/>
      <w:lvlJc w:val="left"/>
      <w:pPr>
        <w:ind w:left="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AECEC9E">
      <w:start w:val="1"/>
      <w:numFmt w:val="bullet"/>
      <w:lvlText w:val="-"/>
      <w:lvlJc w:val="left"/>
      <w:pPr>
        <w:ind w:left="1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26F1F8">
      <w:start w:val="1"/>
      <w:numFmt w:val="bullet"/>
      <w:lvlText w:val="▪"/>
      <w:lvlJc w:val="left"/>
      <w:pPr>
        <w:ind w:left="1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3ED996">
      <w:start w:val="1"/>
      <w:numFmt w:val="bullet"/>
      <w:lvlText w:val="•"/>
      <w:lvlJc w:val="left"/>
      <w:pPr>
        <w:ind w:left="2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9C9B70">
      <w:start w:val="1"/>
      <w:numFmt w:val="bullet"/>
      <w:lvlText w:val="o"/>
      <w:lvlJc w:val="left"/>
      <w:pPr>
        <w:ind w:left="2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C2DD68">
      <w:start w:val="1"/>
      <w:numFmt w:val="bullet"/>
      <w:lvlText w:val="▪"/>
      <w:lvlJc w:val="left"/>
      <w:pPr>
        <w:ind w:left="3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C445C4">
      <w:start w:val="1"/>
      <w:numFmt w:val="bullet"/>
      <w:lvlText w:val="•"/>
      <w:lvlJc w:val="left"/>
      <w:pPr>
        <w:ind w:left="4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6C4268">
      <w:start w:val="1"/>
      <w:numFmt w:val="bullet"/>
      <w:lvlText w:val="o"/>
      <w:lvlJc w:val="left"/>
      <w:pPr>
        <w:ind w:left="4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CBA52CA">
      <w:start w:val="1"/>
      <w:numFmt w:val="bullet"/>
      <w:lvlText w:val="▪"/>
      <w:lvlJc w:val="left"/>
      <w:pPr>
        <w:ind w:left="5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AEA6B29"/>
    <w:multiLevelType w:val="multilevel"/>
    <w:tmpl w:val="BF804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C92462"/>
    <w:multiLevelType w:val="multilevel"/>
    <w:tmpl w:val="0302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A35378"/>
    <w:multiLevelType w:val="multilevel"/>
    <w:tmpl w:val="D7B603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1866B4"/>
    <w:multiLevelType w:val="hybridMultilevel"/>
    <w:tmpl w:val="CD909B78"/>
    <w:lvl w:ilvl="0" w:tplc="FAF8824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CE4B1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7E7B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B4B73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2FBA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320D9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1C55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0AE06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302FE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5"/>
  </w:num>
  <w:num w:numId="3">
    <w:abstractNumId w:val="15"/>
  </w:num>
  <w:num w:numId="4">
    <w:abstractNumId w:val="11"/>
  </w:num>
  <w:num w:numId="5">
    <w:abstractNumId w:val="13"/>
  </w:num>
  <w:num w:numId="6">
    <w:abstractNumId w:val="0"/>
  </w:num>
  <w:num w:numId="7">
    <w:abstractNumId w:val="17"/>
  </w:num>
  <w:num w:numId="8">
    <w:abstractNumId w:val="14"/>
  </w:num>
  <w:num w:numId="9">
    <w:abstractNumId w:val="3"/>
  </w:num>
  <w:num w:numId="10">
    <w:abstractNumId w:val="19"/>
  </w:num>
  <w:num w:numId="11">
    <w:abstractNumId w:val="4"/>
  </w:num>
  <w:num w:numId="12">
    <w:abstractNumId w:val="18"/>
  </w:num>
  <w:num w:numId="13">
    <w:abstractNumId w:val="7"/>
  </w:num>
  <w:num w:numId="14">
    <w:abstractNumId w:val="16"/>
  </w:num>
  <w:num w:numId="15">
    <w:abstractNumId w:val="2"/>
  </w:num>
  <w:num w:numId="16">
    <w:abstractNumId w:val="1"/>
  </w:num>
  <w:num w:numId="17">
    <w:abstractNumId w:val="9"/>
  </w:num>
  <w:num w:numId="18">
    <w:abstractNumId w:val="10"/>
  </w:num>
  <w:num w:numId="19">
    <w:abstractNumId w:val="8"/>
  </w:num>
  <w:num w:numId="20">
    <w:abstractNumId w:val="20"/>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0D"/>
    <w:rsid w:val="000065CC"/>
    <w:rsid w:val="000206B0"/>
    <w:rsid w:val="000859FE"/>
    <w:rsid w:val="0009195F"/>
    <w:rsid w:val="00097564"/>
    <w:rsid w:val="000B6B66"/>
    <w:rsid w:val="000C23E6"/>
    <w:rsid w:val="00157238"/>
    <w:rsid w:val="0016792A"/>
    <w:rsid w:val="001747C6"/>
    <w:rsid w:val="002030C0"/>
    <w:rsid w:val="002033BD"/>
    <w:rsid w:val="00203DF7"/>
    <w:rsid w:val="00247BB0"/>
    <w:rsid w:val="00250616"/>
    <w:rsid w:val="00264DF5"/>
    <w:rsid w:val="00274E41"/>
    <w:rsid w:val="0029795B"/>
    <w:rsid w:val="002B2C6C"/>
    <w:rsid w:val="002B5DA2"/>
    <w:rsid w:val="002D2A19"/>
    <w:rsid w:val="003054B7"/>
    <w:rsid w:val="0032721C"/>
    <w:rsid w:val="00333D2C"/>
    <w:rsid w:val="00350FEC"/>
    <w:rsid w:val="00367D75"/>
    <w:rsid w:val="00390201"/>
    <w:rsid w:val="00392079"/>
    <w:rsid w:val="003A0BFD"/>
    <w:rsid w:val="004247E6"/>
    <w:rsid w:val="00452FA4"/>
    <w:rsid w:val="0047026B"/>
    <w:rsid w:val="0047238A"/>
    <w:rsid w:val="004C459C"/>
    <w:rsid w:val="00520B01"/>
    <w:rsid w:val="00523304"/>
    <w:rsid w:val="005327EC"/>
    <w:rsid w:val="00543E47"/>
    <w:rsid w:val="00544635"/>
    <w:rsid w:val="005502D7"/>
    <w:rsid w:val="00550EB6"/>
    <w:rsid w:val="00567B33"/>
    <w:rsid w:val="00575C00"/>
    <w:rsid w:val="005A7F2B"/>
    <w:rsid w:val="005B2A59"/>
    <w:rsid w:val="005B6772"/>
    <w:rsid w:val="005D4F0D"/>
    <w:rsid w:val="005F4E42"/>
    <w:rsid w:val="006028DA"/>
    <w:rsid w:val="0062144F"/>
    <w:rsid w:val="006564B9"/>
    <w:rsid w:val="006673E2"/>
    <w:rsid w:val="006A3975"/>
    <w:rsid w:val="006B01CE"/>
    <w:rsid w:val="006D0437"/>
    <w:rsid w:val="006D4872"/>
    <w:rsid w:val="006E4AFF"/>
    <w:rsid w:val="007061EE"/>
    <w:rsid w:val="00713A48"/>
    <w:rsid w:val="007146BF"/>
    <w:rsid w:val="00715FB0"/>
    <w:rsid w:val="00734CD8"/>
    <w:rsid w:val="007573E2"/>
    <w:rsid w:val="00791351"/>
    <w:rsid w:val="007A435B"/>
    <w:rsid w:val="007C72A4"/>
    <w:rsid w:val="007D34DA"/>
    <w:rsid w:val="007F3DB9"/>
    <w:rsid w:val="00842619"/>
    <w:rsid w:val="008426D0"/>
    <w:rsid w:val="00854387"/>
    <w:rsid w:val="00861848"/>
    <w:rsid w:val="00866A13"/>
    <w:rsid w:val="008805E4"/>
    <w:rsid w:val="0089208C"/>
    <w:rsid w:val="008D081D"/>
    <w:rsid w:val="008F256F"/>
    <w:rsid w:val="00920023"/>
    <w:rsid w:val="00923B3C"/>
    <w:rsid w:val="00945BD9"/>
    <w:rsid w:val="00953C68"/>
    <w:rsid w:val="0095490E"/>
    <w:rsid w:val="00966A86"/>
    <w:rsid w:val="009904BA"/>
    <w:rsid w:val="00993659"/>
    <w:rsid w:val="009B0BE9"/>
    <w:rsid w:val="009E3D9F"/>
    <w:rsid w:val="009E6523"/>
    <w:rsid w:val="009F40BD"/>
    <w:rsid w:val="00A0522C"/>
    <w:rsid w:val="00A919D1"/>
    <w:rsid w:val="00AA2AF1"/>
    <w:rsid w:val="00AC5568"/>
    <w:rsid w:val="00AC57EB"/>
    <w:rsid w:val="00AD0F38"/>
    <w:rsid w:val="00AF1922"/>
    <w:rsid w:val="00B07E99"/>
    <w:rsid w:val="00B1293B"/>
    <w:rsid w:val="00B25443"/>
    <w:rsid w:val="00B34B80"/>
    <w:rsid w:val="00B5284D"/>
    <w:rsid w:val="00B656E1"/>
    <w:rsid w:val="00B72854"/>
    <w:rsid w:val="00B73AE5"/>
    <w:rsid w:val="00B74DBD"/>
    <w:rsid w:val="00BA7914"/>
    <w:rsid w:val="00BB2E94"/>
    <w:rsid w:val="00C10D49"/>
    <w:rsid w:val="00C24911"/>
    <w:rsid w:val="00C26DA9"/>
    <w:rsid w:val="00C536E6"/>
    <w:rsid w:val="00C96E70"/>
    <w:rsid w:val="00CB091F"/>
    <w:rsid w:val="00CD0FAB"/>
    <w:rsid w:val="00CF175D"/>
    <w:rsid w:val="00D5388C"/>
    <w:rsid w:val="00D54471"/>
    <w:rsid w:val="00D60246"/>
    <w:rsid w:val="00D72CC0"/>
    <w:rsid w:val="00D830B0"/>
    <w:rsid w:val="00DA1120"/>
    <w:rsid w:val="00DA2902"/>
    <w:rsid w:val="00DC7366"/>
    <w:rsid w:val="00DD125C"/>
    <w:rsid w:val="00DD1BD1"/>
    <w:rsid w:val="00DD263A"/>
    <w:rsid w:val="00DF39FE"/>
    <w:rsid w:val="00E14528"/>
    <w:rsid w:val="00E1548B"/>
    <w:rsid w:val="00E26478"/>
    <w:rsid w:val="00E50838"/>
    <w:rsid w:val="00E56A2E"/>
    <w:rsid w:val="00E60BDE"/>
    <w:rsid w:val="00E92568"/>
    <w:rsid w:val="00EA0ECD"/>
    <w:rsid w:val="00EA4EE3"/>
    <w:rsid w:val="00EB550A"/>
    <w:rsid w:val="00EC4F9A"/>
    <w:rsid w:val="00ED21AB"/>
    <w:rsid w:val="00F26F20"/>
    <w:rsid w:val="00F34899"/>
    <w:rsid w:val="00F46603"/>
    <w:rsid w:val="00F57B52"/>
    <w:rsid w:val="00F75534"/>
    <w:rsid w:val="00FA1D46"/>
    <w:rsid w:val="00FB631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A7A0"/>
  <w15:docId w15:val="{2CEBD124-120E-45DC-A0DE-888ED3EC7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t-EE" w:eastAsia="et-E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1" w:lineRule="auto"/>
      <w:ind w:left="10" w:hanging="10"/>
      <w:jc w:val="both"/>
    </w:pPr>
    <w:rPr>
      <w:rFonts w:ascii="Arial" w:eastAsia="Arial" w:hAnsi="Arial" w:cs="Arial"/>
      <w:color w:val="000000"/>
    </w:rPr>
  </w:style>
  <w:style w:type="paragraph" w:styleId="Heading1">
    <w:name w:val="heading 1"/>
    <w:basedOn w:val="Normal"/>
    <w:next w:val="Normal"/>
    <w:link w:val="Heading1Char"/>
    <w:uiPriority w:val="9"/>
    <w:qFormat/>
    <w:rsid w:val="00F466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F46603"/>
    <w:pPr>
      <w:spacing w:before="100" w:beforeAutospacing="1" w:after="100" w:afterAutospacing="1" w:line="240" w:lineRule="auto"/>
      <w:ind w:left="0" w:firstLine="0"/>
      <w:jc w:val="left"/>
      <w:outlineLvl w:val="2"/>
    </w:pPr>
    <w:rPr>
      <w:rFonts w:ascii="Times New Roman" w:eastAsia="Times New Roman" w:hAnsi="Times New Roman" w:cs="Times New Roman"/>
      <w:b/>
      <w:bCs/>
      <w:color w:val="auto"/>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50838"/>
    <w:rPr>
      <w:sz w:val="16"/>
      <w:szCs w:val="16"/>
    </w:rPr>
  </w:style>
  <w:style w:type="paragraph" w:styleId="CommentText">
    <w:name w:val="annotation text"/>
    <w:basedOn w:val="Normal"/>
    <w:link w:val="CommentTextChar"/>
    <w:uiPriority w:val="99"/>
    <w:unhideWhenUsed/>
    <w:rsid w:val="00E50838"/>
    <w:pPr>
      <w:spacing w:line="240" w:lineRule="auto"/>
    </w:pPr>
    <w:rPr>
      <w:sz w:val="20"/>
      <w:szCs w:val="20"/>
    </w:rPr>
  </w:style>
  <w:style w:type="character" w:customStyle="1" w:styleId="CommentTextChar">
    <w:name w:val="Comment Text Char"/>
    <w:basedOn w:val="DefaultParagraphFont"/>
    <w:link w:val="CommentText"/>
    <w:uiPriority w:val="99"/>
    <w:rsid w:val="00E50838"/>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E50838"/>
    <w:rPr>
      <w:b/>
      <w:bCs/>
    </w:rPr>
  </w:style>
  <w:style w:type="character" w:customStyle="1" w:styleId="CommentSubjectChar">
    <w:name w:val="Comment Subject Char"/>
    <w:basedOn w:val="CommentTextChar"/>
    <w:link w:val="CommentSubject"/>
    <w:uiPriority w:val="99"/>
    <w:semiHidden/>
    <w:rsid w:val="00E50838"/>
    <w:rPr>
      <w:rFonts w:ascii="Arial" w:eastAsia="Arial" w:hAnsi="Arial" w:cs="Arial"/>
      <w:b/>
      <w:bCs/>
      <w:color w:val="000000"/>
      <w:sz w:val="20"/>
      <w:szCs w:val="20"/>
    </w:rPr>
  </w:style>
  <w:style w:type="paragraph" w:styleId="Revision">
    <w:name w:val="Revision"/>
    <w:hidden/>
    <w:uiPriority w:val="99"/>
    <w:semiHidden/>
    <w:rsid w:val="00ED21AB"/>
    <w:pPr>
      <w:spacing w:after="0" w:line="240" w:lineRule="auto"/>
    </w:pPr>
    <w:rPr>
      <w:rFonts w:ascii="Arial" w:eastAsia="Arial" w:hAnsi="Arial" w:cs="Arial"/>
      <w:color w:val="000000"/>
    </w:rPr>
  </w:style>
  <w:style w:type="paragraph" w:styleId="NormalWeb">
    <w:name w:val="Normal (Web)"/>
    <w:basedOn w:val="Normal"/>
    <w:uiPriority w:val="99"/>
    <w:unhideWhenUsed/>
    <w:rsid w:val="00945BD9"/>
    <w:pPr>
      <w:spacing w:before="100" w:beforeAutospacing="1" w:after="100" w:afterAutospacing="1" w:line="240" w:lineRule="auto"/>
      <w:ind w:left="0" w:firstLine="0"/>
      <w:jc w:val="left"/>
    </w:pPr>
    <w:rPr>
      <w:rFonts w:ascii="Calibri" w:eastAsia="Times New Roman" w:hAnsi="Calibri" w:cs="Calibri"/>
      <w:color w:val="auto"/>
      <w:kern w:val="0"/>
      <w14:ligatures w14:val="none"/>
    </w:rPr>
  </w:style>
  <w:style w:type="character" w:styleId="Strong">
    <w:name w:val="Strong"/>
    <w:basedOn w:val="DefaultParagraphFont"/>
    <w:uiPriority w:val="22"/>
    <w:qFormat/>
    <w:rsid w:val="00945BD9"/>
    <w:rPr>
      <w:b/>
      <w:bCs/>
    </w:rPr>
  </w:style>
  <w:style w:type="character" w:customStyle="1" w:styleId="Heading3Char">
    <w:name w:val="Heading 3 Char"/>
    <w:basedOn w:val="DefaultParagraphFont"/>
    <w:link w:val="Heading3"/>
    <w:uiPriority w:val="9"/>
    <w:rsid w:val="00F46603"/>
    <w:rPr>
      <w:rFonts w:ascii="Times New Roman" w:eastAsia="Times New Roman" w:hAnsi="Times New Roman" w:cs="Times New Roman"/>
      <w:b/>
      <w:bCs/>
      <w:kern w:val="0"/>
      <w:sz w:val="27"/>
      <w:szCs w:val="27"/>
      <w14:ligatures w14:val="none"/>
    </w:rPr>
  </w:style>
  <w:style w:type="character" w:customStyle="1" w:styleId="mm">
    <w:name w:val="mm"/>
    <w:basedOn w:val="DefaultParagraphFont"/>
    <w:rsid w:val="00F46603"/>
  </w:style>
  <w:style w:type="character" w:styleId="Hyperlink">
    <w:name w:val="Hyperlink"/>
    <w:basedOn w:val="DefaultParagraphFont"/>
    <w:uiPriority w:val="99"/>
    <w:semiHidden/>
    <w:unhideWhenUsed/>
    <w:rsid w:val="00F46603"/>
    <w:rPr>
      <w:color w:val="0000FF"/>
      <w:u w:val="single"/>
    </w:rPr>
  </w:style>
  <w:style w:type="character" w:customStyle="1" w:styleId="Heading1Char">
    <w:name w:val="Heading 1 Char"/>
    <w:basedOn w:val="DefaultParagraphFont"/>
    <w:link w:val="Heading1"/>
    <w:uiPriority w:val="9"/>
    <w:rsid w:val="00F46603"/>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5502D7"/>
    <w:pPr>
      <w:spacing w:after="0" w:line="240" w:lineRule="auto"/>
      <w:ind w:left="10" w:hanging="10"/>
      <w:jc w:val="both"/>
    </w:pPr>
    <w:rPr>
      <w:rFonts w:ascii="Arial" w:eastAsia="Arial" w:hAnsi="Arial" w:cs="Arial"/>
      <w:color w:val="000000"/>
    </w:rPr>
  </w:style>
  <w:style w:type="paragraph" w:styleId="ListParagraph">
    <w:name w:val="List Paragraph"/>
    <w:aliases w:val="Mummuga loetelu,Loendi l›ik,List Paragraph1,List (bullet)"/>
    <w:basedOn w:val="Normal"/>
    <w:link w:val="ListParagraphChar"/>
    <w:uiPriority w:val="34"/>
    <w:qFormat/>
    <w:rsid w:val="00DD125C"/>
    <w:pPr>
      <w:ind w:left="720"/>
      <w:contextualSpacing/>
    </w:p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6564B9"/>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9540">
      <w:bodyDiv w:val="1"/>
      <w:marLeft w:val="0"/>
      <w:marRight w:val="0"/>
      <w:marTop w:val="0"/>
      <w:marBottom w:val="0"/>
      <w:divBdr>
        <w:top w:val="none" w:sz="0" w:space="0" w:color="auto"/>
        <w:left w:val="none" w:sz="0" w:space="0" w:color="auto"/>
        <w:bottom w:val="none" w:sz="0" w:space="0" w:color="auto"/>
        <w:right w:val="none" w:sz="0" w:space="0" w:color="auto"/>
      </w:divBdr>
      <w:divsChild>
        <w:div w:id="1928952344">
          <w:marLeft w:val="0"/>
          <w:marRight w:val="0"/>
          <w:marTop w:val="0"/>
          <w:marBottom w:val="0"/>
          <w:divBdr>
            <w:top w:val="none" w:sz="0" w:space="0" w:color="auto"/>
            <w:left w:val="none" w:sz="0" w:space="0" w:color="auto"/>
            <w:bottom w:val="none" w:sz="0" w:space="0" w:color="auto"/>
            <w:right w:val="none" w:sz="0" w:space="0" w:color="auto"/>
          </w:divBdr>
          <w:divsChild>
            <w:div w:id="821117920">
              <w:marLeft w:val="0"/>
              <w:marRight w:val="0"/>
              <w:marTop w:val="0"/>
              <w:marBottom w:val="0"/>
              <w:divBdr>
                <w:top w:val="none" w:sz="0" w:space="0" w:color="auto"/>
                <w:left w:val="none" w:sz="0" w:space="0" w:color="auto"/>
                <w:bottom w:val="none" w:sz="0" w:space="0" w:color="auto"/>
                <w:right w:val="none" w:sz="0" w:space="0" w:color="auto"/>
              </w:divBdr>
              <w:divsChild>
                <w:div w:id="350685139">
                  <w:marLeft w:val="0"/>
                  <w:marRight w:val="0"/>
                  <w:marTop w:val="0"/>
                  <w:marBottom w:val="0"/>
                  <w:divBdr>
                    <w:top w:val="none" w:sz="0" w:space="0" w:color="auto"/>
                    <w:left w:val="none" w:sz="0" w:space="0" w:color="auto"/>
                    <w:bottom w:val="none" w:sz="0" w:space="0" w:color="auto"/>
                    <w:right w:val="none" w:sz="0" w:space="0" w:color="auto"/>
                  </w:divBdr>
                  <w:divsChild>
                    <w:div w:id="786778748">
                      <w:marLeft w:val="0"/>
                      <w:marRight w:val="0"/>
                      <w:marTop w:val="0"/>
                      <w:marBottom w:val="0"/>
                      <w:divBdr>
                        <w:top w:val="none" w:sz="0" w:space="0" w:color="auto"/>
                        <w:left w:val="none" w:sz="0" w:space="0" w:color="auto"/>
                        <w:bottom w:val="none" w:sz="0" w:space="0" w:color="auto"/>
                        <w:right w:val="none" w:sz="0" w:space="0" w:color="auto"/>
                      </w:divBdr>
                      <w:divsChild>
                        <w:div w:id="254363404">
                          <w:marLeft w:val="0"/>
                          <w:marRight w:val="0"/>
                          <w:marTop w:val="0"/>
                          <w:marBottom w:val="0"/>
                          <w:divBdr>
                            <w:top w:val="none" w:sz="0" w:space="0" w:color="auto"/>
                            <w:left w:val="none" w:sz="0" w:space="0" w:color="auto"/>
                            <w:bottom w:val="none" w:sz="0" w:space="0" w:color="auto"/>
                            <w:right w:val="none" w:sz="0" w:space="0" w:color="auto"/>
                          </w:divBdr>
                          <w:divsChild>
                            <w:div w:id="150289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9972498">
      <w:bodyDiv w:val="1"/>
      <w:marLeft w:val="0"/>
      <w:marRight w:val="0"/>
      <w:marTop w:val="0"/>
      <w:marBottom w:val="0"/>
      <w:divBdr>
        <w:top w:val="none" w:sz="0" w:space="0" w:color="auto"/>
        <w:left w:val="none" w:sz="0" w:space="0" w:color="auto"/>
        <w:bottom w:val="none" w:sz="0" w:space="0" w:color="auto"/>
        <w:right w:val="none" w:sz="0" w:space="0" w:color="auto"/>
      </w:divBdr>
    </w:div>
    <w:div w:id="301426171">
      <w:bodyDiv w:val="1"/>
      <w:marLeft w:val="0"/>
      <w:marRight w:val="0"/>
      <w:marTop w:val="0"/>
      <w:marBottom w:val="0"/>
      <w:divBdr>
        <w:top w:val="none" w:sz="0" w:space="0" w:color="auto"/>
        <w:left w:val="none" w:sz="0" w:space="0" w:color="auto"/>
        <w:bottom w:val="none" w:sz="0" w:space="0" w:color="auto"/>
        <w:right w:val="none" w:sz="0" w:space="0" w:color="auto"/>
      </w:divBdr>
    </w:div>
    <w:div w:id="833228738">
      <w:bodyDiv w:val="1"/>
      <w:marLeft w:val="0"/>
      <w:marRight w:val="0"/>
      <w:marTop w:val="0"/>
      <w:marBottom w:val="0"/>
      <w:divBdr>
        <w:top w:val="none" w:sz="0" w:space="0" w:color="auto"/>
        <w:left w:val="none" w:sz="0" w:space="0" w:color="auto"/>
        <w:bottom w:val="none" w:sz="0" w:space="0" w:color="auto"/>
        <w:right w:val="none" w:sz="0" w:space="0" w:color="auto"/>
      </w:divBdr>
    </w:div>
    <w:div w:id="974141104">
      <w:bodyDiv w:val="1"/>
      <w:marLeft w:val="0"/>
      <w:marRight w:val="0"/>
      <w:marTop w:val="0"/>
      <w:marBottom w:val="0"/>
      <w:divBdr>
        <w:top w:val="none" w:sz="0" w:space="0" w:color="auto"/>
        <w:left w:val="none" w:sz="0" w:space="0" w:color="auto"/>
        <w:bottom w:val="none" w:sz="0" w:space="0" w:color="auto"/>
        <w:right w:val="none" w:sz="0" w:space="0" w:color="auto"/>
      </w:divBdr>
    </w:div>
    <w:div w:id="1465853409">
      <w:bodyDiv w:val="1"/>
      <w:marLeft w:val="0"/>
      <w:marRight w:val="0"/>
      <w:marTop w:val="0"/>
      <w:marBottom w:val="0"/>
      <w:divBdr>
        <w:top w:val="none" w:sz="0" w:space="0" w:color="auto"/>
        <w:left w:val="none" w:sz="0" w:space="0" w:color="auto"/>
        <w:bottom w:val="none" w:sz="0" w:space="0" w:color="auto"/>
        <w:right w:val="none" w:sz="0" w:space="0" w:color="auto"/>
      </w:divBdr>
      <w:divsChild>
        <w:div w:id="1825119470">
          <w:marLeft w:val="0"/>
          <w:marRight w:val="0"/>
          <w:marTop w:val="0"/>
          <w:marBottom w:val="0"/>
          <w:divBdr>
            <w:top w:val="none" w:sz="0" w:space="0" w:color="auto"/>
            <w:left w:val="none" w:sz="0" w:space="0" w:color="auto"/>
            <w:bottom w:val="none" w:sz="0" w:space="0" w:color="auto"/>
            <w:right w:val="none" w:sz="0" w:space="0" w:color="auto"/>
          </w:divBdr>
          <w:divsChild>
            <w:div w:id="1135027786">
              <w:marLeft w:val="0"/>
              <w:marRight w:val="0"/>
              <w:marTop w:val="0"/>
              <w:marBottom w:val="0"/>
              <w:divBdr>
                <w:top w:val="none" w:sz="0" w:space="0" w:color="auto"/>
                <w:left w:val="none" w:sz="0" w:space="0" w:color="auto"/>
                <w:bottom w:val="none" w:sz="0" w:space="0" w:color="auto"/>
                <w:right w:val="none" w:sz="0" w:space="0" w:color="auto"/>
              </w:divBdr>
              <w:divsChild>
                <w:div w:id="1289582335">
                  <w:marLeft w:val="0"/>
                  <w:marRight w:val="0"/>
                  <w:marTop w:val="0"/>
                  <w:marBottom w:val="0"/>
                  <w:divBdr>
                    <w:top w:val="none" w:sz="0" w:space="0" w:color="auto"/>
                    <w:left w:val="none" w:sz="0" w:space="0" w:color="auto"/>
                    <w:bottom w:val="none" w:sz="0" w:space="0" w:color="auto"/>
                    <w:right w:val="none" w:sz="0" w:space="0" w:color="auto"/>
                  </w:divBdr>
                  <w:divsChild>
                    <w:div w:id="1079132974">
                      <w:marLeft w:val="0"/>
                      <w:marRight w:val="0"/>
                      <w:marTop w:val="0"/>
                      <w:marBottom w:val="0"/>
                      <w:divBdr>
                        <w:top w:val="none" w:sz="0" w:space="0" w:color="auto"/>
                        <w:left w:val="none" w:sz="0" w:space="0" w:color="auto"/>
                        <w:bottom w:val="none" w:sz="0" w:space="0" w:color="auto"/>
                        <w:right w:val="none" w:sz="0" w:space="0" w:color="auto"/>
                      </w:divBdr>
                      <w:divsChild>
                        <w:div w:id="1976175989">
                          <w:marLeft w:val="0"/>
                          <w:marRight w:val="0"/>
                          <w:marTop w:val="0"/>
                          <w:marBottom w:val="0"/>
                          <w:divBdr>
                            <w:top w:val="none" w:sz="0" w:space="0" w:color="auto"/>
                            <w:left w:val="none" w:sz="0" w:space="0" w:color="auto"/>
                            <w:bottom w:val="none" w:sz="0" w:space="0" w:color="auto"/>
                            <w:right w:val="none" w:sz="0" w:space="0" w:color="auto"/>
                          </w:divBdr>
                          <w:divsChild>
                            <w:div w:id="101229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529095">
      <w:bodyDiv w:val="1"/>
      <w:marLeft w:val="0"/>
      <w:marRight w:val="0"/>
      <w:marTop w:val="0"/>
      <w:marBottom w:val="0"/>
      <w:divBdr>
        <w:top w:val="none" w:sz="0" w:space="0" w:color="auto"/>
        <w:left w:val="none" w:sz="0" w:space="0" w:color="auto"/>
        <w:bottom w:val="none" w:sz="0" w:space="0" w:color="auto"/>
        <w:right w:val="none" w:sz="0" w:space="0" w:color="auto"/>
      </w:divBdr>
      <w:divsChild>
        <w:div w:id="910192034">
          <w:marLeft w:val="0"/>
          <w:marRight w:val="0"/>
          <w:marTop w:val="0"/>
          <w:marBottom w:val="0"/>
          <w:divBdr>
            <w:top w:val="none" w:sz="0" w:space="0" w:color="auto"/>
            <w:left w:val="none" w:sz="0" w:space="0" w:color="auto"/>
            <w:bottom w:val="none" w:sz="0" w:space="0" w:color="auto"/>
            <w:right w:val="none" w:sz="0" w:space="0" w:color="auto"/>
          </w:divBdr>
          <w:divsChild>
            <w:div w:id="1049381758">
              <w:marLeft w:val="0"/>
              <w:marRight w:val="0"/>
              <w:marTop w:val="0"/>
              <w:marBottom w:val="0"/>
              <w:divBdr>
                <w:top w:val="none" w:sz="0" w:space="0" w:color="auto"/>
                <w:left w:val="none" w:sz="0" w:space="0" w:color="auto"/>
                <w:bottom w:val="none" w:sz="0" w:space="0" w:color="auto"/>
                <w:right w:val="none" w:sz="0" w:space="0" w:color="auto"/>
              </w:divBdr>
              <w:divsChild>
                <w:div w:id="1447583715">
                  <w:marLeft w:val="0"/>
                  <w:marRight w:val="0"/>
                  <w:marTop w:val="0"/>
                  <w:marBottom w:val="0"/>
                  <w:divBdr>
                    <w:top w:val="none" w:sz="0" w:space="0" w:color="auto"/>
                    <w:left w:val="none" w:sz="0" w:space="0" w:color="auto"/>
                    <w:bottom w:val="none" w:sz="0" w:space="0" w:color="auto"/>
                    <w:right w:val="none" w:sz="0" w:space="0" w:color="auto"/>
                  </w:divBdr>
                  <w:divsChild>
                    <w:div w:id="152505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0201">
          <w:marLeft w:val="0"/>
          <w:marRight w:val="0"/>
          <w:marTop w:val="0"/>
          <w:marBottom w:val="0"/>
          <w:divBdr>
            <w:top w:val="none" w:sz="0" w:space="0" w:color="auto"/>
            <w:left w:val="none" w:sz="0" w:space="0" w:color="auto"/>
            <w:bottom w:val="none" w:sz="0" w:space="0" w:color="auto"/>
            <w:right w:val="none" w:sz="0" w:space="0" w:color="auto"/>
          </w:divBdr>
          <w:divsChild>
            <w:div w:id="214051576">
              <w:marLeft w:val="0"/>
              <w:marRight w:val="0"/>
              <w:marTop w:val="0"/>
              <w:marBottom w:val="0"/>
              <w:divBdr>
                <w:top w:val="none" w:sz="0" w:space="0" w:color="auto"/>
                <w:left w:val="none" w:sz="0" w:space="0" w:color="auto"/>
                <w:bottom w:val="none" w:sz="0" w:space="0" w:color="auto"/>
                <w:right w:val="none" w:sz="0" w:space="0" w:color="auto"/>
              </w:divBdr>
              <w:divsChild>
                <w:div w:id="137961278">
                  <w:marLeft w:val="0"/>
                  <w:marRight w:val="0"/>
                  <w:marTop w:val="0"/>
                  <w:marBottom w:val="0"/>
                  <w:divBdr>
                    <w:top w:val="none" w:sz="0" w:space="0" w:color="auto"/>
                    <w:left w:val="none" w:sz="0" w:space="0" w:color="auto"/>
                    <w:bottom w:val="none" w:sz="0" w:space="0" w:color="auto"/>
                    <w:right w:val="none" w:sz="0" w:space="0" w:color="auto"/>
                  </w:divBdr>
                  <w:divsChild>
                    <w:div w:id="196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1848</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Viert</dc:creator>
  <cp:keywords/>
  <cp:lastModifiedBy>Tõnis Palgi</cp:lastModifiedBy>
  <cp:revision>6</cp:revision>
  <cp:lastPrinted>2024-09-09T13:58:00Z</cp:lastPrinted>
  <dcterms:created xsi:type="dcterms:W3CDTF">2024-09-11T12:20:00Z</dcterms:created>
  <dcterms:modified xsi:type="dcterms:W3CDTF">2024-09-17T11:46:00Z</dcterms:modified>
</cp:coreProperties>
</file>